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gestão de patches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Patch management plan — 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 processo e as responsabilidades para a gestão de patches de segurança e software.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Assegurar a aplicação atempada de correcções críticas para reduzir a janela de vulnerabilidade.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Minimizar a disrupção dos serviços de TI durante os ciclos de patching.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Manter um registo de conformidade e auditabilidade do estado de patching da infraestrutura.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procedimentos de teste e rollback para patches que causem instabilidade.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https://better-skills.com/politica-seguranca/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âmbito e classificação de patches</w:t>
      </w:r>
    </w:p>
    <w:p>
      <w:pPr>
        <w:spacing w:before="120" w:after="60"/>
      </w:pPr>
      <w:r>
        <w:rPr>
          <w:rFonts w:ascii="Calibri" w:hAnsi="Calibri"/>
          <w:sz w:val="22"/>
        </w:rPr>
        <w:t>Este plano aplica-se a todos os sistemas geridos pela equipa de TI, incluindo servidores, estações de trabalho, dispositivos de rede e aplicações. Os patches são classificados por criticidade, com prazos de aplicação diferenciados: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Criticidade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SLA de aplicação</w:t>
            </w:r>
          </w:p>
        </w:tc>
        <w:tc>
          <w:tcPr>
            <w:tcW w:type="dxa" w:w="368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Exemplos</w:t>
            </w:r>
          </w:p>
        </w:tc>
      </w:tr>
      <w:tr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Crítico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Vulnerabilidade activamente explorada ou com impacto catastrófico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≤ 24 horas</w:t>
            </w:r>
          </w:p>
        </w:tc>
        <w:tc>
          <w:tcPr>
            <w:tcW w:type="dxa" w:w="368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Zero-day, RCE sem autenticação</w:t>
            </w:r>
          </w:p>
        </w:tc>
      </w:tr>
      <w:tr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Alto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Vulnerabilidade com elevado potencial de exploração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≤ 7 dias</w:t>
            </w:r>
          </w:p>
        </w:tc>
        <w:tc>
          <w:tcPr>
            <w:tcW w:type="dxa" w:w="368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Privilege escalation, exploração remota</w:t>
            </w:r>
          </w:p>
        </w:tc>
      </w:tr>
      <w:tr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Médio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Vulnerabilidade com impacto moderado, exploração complexa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≤ 30 dias</w:t>
            </w:r>
          </w:p>
        </w:tc>
        <w:tc>
          <w:tcPr>
            <w:tcW w:type="dxa" w:w="368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DoS local, divulgação de informação</w:t>
            </w:r>
          </w:p>
        </w:tc>
      </w:tr>
      <w:tr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Baixo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Vulnerabilidade com impacto mínimo ou exploração muito difícil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≤ 90 dias</w:t>
            </w:r>
          </w:p>
        </w:tc>
        <w:tc>
          <w:tcPr>
            <w:tcW w:type="dxa" w:w="368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Melhorias de segurança minor</w:t>
            </w:r>
          </w:p>
        </w:tc>
      </w:tr>
      <w:tr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Informativo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Actualizações funcionais sem impacto de segurança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Próximo ciclo mensal</w:t>
            </w:r>
          </w:p>
        </w:tc>
        <w:tc>
          <w:tcPr>
            <w:tcW w:type="dxa" w:w="368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Feature releases, melhorias de desempenho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processo de avaliação e aprovação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Fase</w:t>
            </w:r>
          </w:p>
        </w:tc>
        <w:tc>
          <w:tcPr>
            <w:tcW w:type="dxa" w:w="3402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</w:tr>
      <w:tr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— identificação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Monitorização de boletins de segurança (CERT, vendor advisory, CVE)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segurança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Contínuo</w:t>
            </w:r>
          </w:p>
        </w:tc>
      </w:tr>
      <w:tr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 — avaliação</w:t>
            </w:r>
          </w:p>
        </w:tc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Análise de criticidade, âmbito e potencial impacto nos sistemas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patches + gestor de mudanças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24-48h após identificação</w:t>
            </w:r>
          </w:p>
        </w:tc>
      </w:tr>
      <w:tr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 — teste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Aplicação em ambiente de teste ou pré-produção; validação funcional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técnica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Conforme SLA da criticidade</w:t>
            </w:r>
          </w:p>
        </w:tc>
      </w:tr>
      <w:tr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 — aprovação</w:t>
            </w:r>
          </w:p>
        </w:tc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Submissão de RFC ao processo de change management; aprovação CAB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mudanças / CAB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Conforme processo de mudanças</w:t>
            </w:r>
          </w:p>
        </w:tc>
      </w:tr>
      <w:tr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 — implementação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Aplicação do patch em produção na janela de manutenção aprovada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operações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Conforme SLA da criticidade</w:t>
            </w:r>
          </w:p>
        </w:tc>
      </w:tr>
      <w:tr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6 — verificação</w:t>
            </w:r>
          </w:p>
        </w:tc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Confirmação de aplicação bem-sucedida, testes pós-patch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técnica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Imediatamente após implementação</w:t>
            </w:r>
          </w:p>
        </w:tc>
      </w:tr>
      <w:tr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7 — fecho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Actualização do registo de patches, comunicação e encerramento do RFC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patches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Até 24h após implementação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calendário de patching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Ambiente</w:t>
            </w:r>
          </w:p>
        </w:tc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Janela de manutenção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Frequência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Estações de trabalho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Sexta-feira, 18:00-22:00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Semanal (automático via WSUS/SCCM)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Servidores de aplicação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Sábado, 02:00-06:00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 (2.º sábado do mês)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Servidores de base de dados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Domingo, 02:00-06:00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 (ou crítico urgente)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Dispositivos de rede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Domingo, 04:00-08:00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Sistemas de produção críticos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acordo com o negócio]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Caso a caso — aprovação CAB obrigatória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Patches de criticidade crítica podem ser aplicados fora da janela regular de manutenção mediante aprovação do gestor de TI e notificação às partes interessadas com um mínimo de 1 hora de antecedência.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procedimento de teste</w:t>
      </w:r>
    </w:p>
    <w:p>
      <w:pPr>
        <w:spacing w:before="120" w:after="60"/>
      </w:pPr>
      <w:r>
        <w:rPr>
          <w:rFonts w:ascii="Calibri" w:hAnsi="Calibri"/>
          <w:sz w:val="22"/>
        </w:rPr>
        <w:t>Antes da aplicação em produção, todos os patches classificados como alto ou superior devem ser testados: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Aplicar o patch no ambiente de teste ou pré-produção.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Executar o conjunto de testes de regressão funcional dos sistemas afectados.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Verificar o desempenho e estabilidade do sistema durante 24-48 horas.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os resultados dos testes no formulário de avaliação de patch.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Obter confirmação escrita do responsável técnico antes de prosseguir.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procedimento de rollback</w:t>
      </w:r>
    </w:p>
    <w:p>
      <w:pPr>
        <w:spacing w:before="120" w:after="60"/>
      </w:pPr>
      <w:r>
        <w:rPr>
          <w:rFonts w:ascii="Calibri" w:hAnsi="Calibri"/>
          <w:sz w:val="22"/>
        </w:rPr>
        <w:t>Caso um patch cause instabilidade ou falha funcional após a aplicação: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56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5669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56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56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Detectar problema — monitorização activa durante 2h após patching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operações</w:t>
            </w:r>
          </w:p>
        </w:tc>
      </w:tr>
      <w:tr>
        <w:tc>
          <w:tcPr>
            <w:tcW w:type="dxa" w:w="56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56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Avaliar impacto e decidir rollback — critério: degradação ≥ 20% ou falha funcional crítica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patches + gestor técnico</w:t>
            </w:r>
          </w:p>
        </w:tc>
      </w:tr>
      <w:tr>
        <w:tc>
          <w:tcPr>
            <w:tcW w:type="dxa" w:w="56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56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Activar procedimento de rollback — restaurar backup de sistema operativo ou desinstalar patch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técnica</w:t>
            </w:r>
          </w:p>
        </w:tc>
      </w:tr>
      <w:tr>
        <w:tc>
          <w:tcPr>
            <w:tcW w:type="dxa" w:w="56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</w:t>
            </w:r>
          </w:p>
        </w:tc>
        <w:tc>
          <w:tcPr>
            <w:tcW w:type="dxa" w:w="56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Verificar restauro funcional completo do sistema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técnica</w:t>
            </w:r>
          </w:p>
        </w:tc>
      </w:tr>
      <w:tr>
        <w:tc>
          <w:tcPr>
            <w:tcW w:type="dxa" w:w="56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</w:t>
            </w:r>
          </w:p>
        </w:tc>
        <w:tc>
          <w:tcPr>
            <w:tcW w:type="dxa" w:w="56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Notificar stakeholders e actualizar RFC com resultado do rollback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mudanças</w:t>
            </w:r>
          </w:p>
        </w:tc>
      </w:tr>
      <w:tr>
        <w:tc>
          <w:tcPr>
            <w:tcW w:type="dxa" w:w="56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6</w:t>
            </w:r>
          </w:p>
        </w:tc>
        <w:tc>
          <w:tcPr>
            <w:tcW w:type="dxa" w:w="56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Investigar causa da falha e reclassificar patch para re-teste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segurança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excepções e dispensas</w:t>
      </w:r>
    </w:p>
    <w:p>
      <w:pPr>
        <w:spacing w:before="120" w:after="60"/>
      </w:pPr>
      <w:r>
        <w:rPr>
          <w:rFonts w:ascii="Calibri" w:hAnsi="Calibri"/>
          <w:sz w:val="22"/>
        </w:rPr>
        <w:t>Sistemas que não possam ser patchados dentro do SLA definido devem seguir o processo de excepção de segurança: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Sistema/Aplicação com excepção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Motivo da excepção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incompatibilidade com aplicação legada]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Controlos compensatórios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isolamento de rede, monitorização reforçada]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máximo de excepção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Aprovador da excepção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CISO / director de TI]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métricas e reporting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402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KPI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Frequência de reporte</w:t>
            </w:r>
          </w:p>
        </w:tc>
      </w:tr>
      <w:tr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patches críticos aplicados no prazo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≥ 99%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Semanal</w:t>
            </w:r>
          </w:p>
        </w:tc>
      </w:tr>
      <w:tr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patches altos aplicados no prazo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≥ 95%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Quinzenal</w:t>
            </w:r>
          </w:p>
        </w:tc>
      </w:tr>
      <w:tr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Sistemas com patches em atraso (&gt; 30 dias)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 críticos; ≤ 5% médios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médio de aplicação de patch crítico (MTTP)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≤ 24h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Por incidente</w:t>
            </w:r>
          </w:p>
        </w:tc>
      </w:tr>
      <w:tr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Incidentes causados por patches falhados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gestão de patches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