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0" w:after="0"/>
      </w:pPr>
      <w:r>
        <w:rPr>
          <w:sz w:val="12"/>
        </w:rPr>
      </w:r>
    </w:p>
    <w:p>
      <w:pPr>
        <w:shd w:val="clear" w:color="auto" w:fill="1B3A5C"/>
        <w:spacing w:before="480" w:after="0"/>
        <w:jc w:val="center"/>
      </w:pPr>
      <w:r>
        <w:rPr>
          <w:sz w:val="36"/>
        </w:rPr>
        <w:br/>
      </w:r>
    </w:p>
    <w:p>
      <w:pPr>
        <w:shd w:val="clear" w:color="auto" w:fill="1B3A5C"/>
        <w:spacing w:before="0" w:after="0"/>
        <w:jc w:val="center"/>
      </w:pPr>
      <w:r>
        <w:rPr>
          <w:rFonts w:ascii="Calibri" w:hAnsi="Calibri"/>
          <w:b/>
          <w:color w:val="FFFFFF"/>
          <w:sz w:val="52"/>
        </w:rPr>
        <w:t>Formulário de excepção de segurança</w:t>
      </w:r>
    </w:p>
    <w:p>
      <w:pPr>
        <w:shd w:val="clear" w:color="auto" w:fill="1B3A5C"/>
        <w:spacing w:before="120" w:after="0"/>
        <w:jc w:val="center"/>
      </w:pPr>
      <w:r>
        <w:rPr>
          <w:rFonts w:ascii="Calibri" w:hAnsi="Calibri"/>
          <w:i/>
          <w:color w:val="BBD5ED"/>
          <w:sz w:val="24"/>
        </w:rPr>
        <w:t>Security exception request — baseado em ITIL® 4</w:t>
      </w:r>
    </w:p>
    <w:p>
      <w:pPr>
        <w:shd w:val="clear" w:color="auto" w:fill="1B3A5C"/>
        <w:spacing w:before="0" w:after="0"/>
        <w:jc w:val="center"/>
      </w:pPr>
      <w:r>
        <w:rPr>
          <w:sz w:val="36"/>
        </w:rPr>
        <w:br/>
      </w:r>
    </w:p>
    <w:p>
      <w:pPr>
        <w:pBdr>
          <w:bottom w:val="single" w:sz="6" w:space="1" w:color="2E86C1"/>
        </w:pBdr>
        <w:spacing w:before="0" w:after="120"/>
      </w:pPr>
    </w:p>
    <w:p>
      <w:pPr>
        <w:spacing w:before="240" w:after="120"/>
      </w:pP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sz w:val="20"/>
              </w:rPr>
              <w:t>1.0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[DD/MM/AAAA]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[Nome do autor]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Estado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[Rascunho / em revisão / aprovado]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Classificação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[Interno / confidencial / público]</w:t>
            </w:r>
          </w:p>
        </w:tc>
      </w:tr>
      <w:tr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FFFFFF"/>
                <w:sz w:val="20"/>
              </w:rPr>
              <w:t>Referência</w:t>
            </w:r>
          </w:p>
        </w:tc>
        <w:tc>
          <w:tcPr>
            <w:tcW w:type="dxa" w:w="6520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888888"/>
                <w:sz w:val="20"/>
              </w:rPr>
              <w:t>[REF-001]</w:t>
            </w:r>
          </w:p>
        </w:tc>
      </w:tr>
    </w:tbl>
    <w:p>
      <w:pPr>
        <w:spacing w:before="720" w:after="120"/>
      </w:pPr>
    </w:p>
    <w:p>
      <w:pPr>
        <w:spacing w:before="0" w:after="40"/>
        <w:jc w:val="center"/>
      </w:pPr>
      <w:r>
        <w:rPr>
          <w:rFonts w:ascii="Calibri" w:hAnsi="Calibri"/>
          <w:i/>
          <w:color w:val="AAAAAA"/>
          <w:sz w:val="22"/>
        </w:rPr>
        <w:t>[Logo da organização]</w:t>
      </w:r>
    </w:p>
    <w:p>
      <w:pPr>
        <w:spacing w:before="40" w:after="240"/>
        <w:jc w:val="center"/>
      </w:pPr>
      <w:r>
        <w:rPr>
          <w:rFonts w:ascii="Calibri" w:hAnsi="Calibri"/>
          <w:b/>
          <w:color w:val="1B3A5C"/>
          <w:sz w:val="28"/>
        </w:rPr>
        <w:t>[Nome da organização]</w:t>
      </w:r>
    </w:p>
    <w:p>
      <w:pPr>
        <w:spacing w:before="0" w:after="0"/>
        <w:jc w:val="center"/>
      </w:pPr>
      <w:r>
        <w:rPr>
          <w:rFonts w:ascii="Calibri" w:hAnsi="Calibri"/>
          <w:color w:val="AAAAAA"/>
          <w:sz w:val="18"/>
        </w:rPr>
        <w:t>Preparado por Better Skills — better-skills.com</w:t>
      </w: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1. objectivo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Documentar formalmente os casos em que um controlo ou política de segurança não pode ser cumprido.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Assegurar que os riscos associados à excepção são avaliados, aceites e devidamente mitigados.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Manter uma pista de auditoria de todas as excepções activas e dos respectivos aprovadores.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Estabelecer uma data de revisão para garantir que as excepções são temporárias e não se tornam permanentes.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2. instruções de utilização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Preencha todos os campos assinalados com [Preencher] com a informação específica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Os campos com [Seleccionar: ...] devem ser preenchidos escolhendo uma das opções indicadas.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Personalize as secções conforme a maturidade e dimensão da sua organização.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Mantenha o registo actualizado sempre que houver alterações relevantes.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Guarde o documento no repositório central da sua organização com controlo de versões.</w:t>
      </w:r>
    </w:p>
    <w:p>
      <w:pPr>
        <w:shd w:val="clear" w:color="auto" w:fill="E6F4EA"/>
        <w:pBdr>
          <w:left w:val="single" w:sz="18" w:space="8" w:color="27AE60"/>
        </w:pBdr>
        <w:spacing w:before="160" w:after="160"/>
        <w:ind w:left="284" w:right="284"/>
      </w:pPr>
      <w:r>
        <w:rPr>
          <w:rFonts w:ascii="Calibri" w:hAnsi="Calibri"/>
          <w:b/>
          <w:color w:val="27AE60"/>
          <w:sz w:val="20"/>
        </w:rPr>
        <w:t xml:space="preserve">DICA: </w:t>
      </w:r>
      <w:r>
        <w:rPr>
          <w:rFonts w:ascii="Calibri" w:hAnsi="Calibri"/>
          <w:color w:val="333333"/>
          <w:sz w:val="20"/>
        </w:rPr>
        <w:t>Para orientação detalhada sobre este processo, consulte o guia completo em: https://better-skills.com/politica-seguranca/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3. identificação da excepção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68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Número da excepção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[EXC-SEG-AAAAMMDD-001]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do pedido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Solicitante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nome e cargo]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Departamento / área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Sistema / serviço afectado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Classificação da excepção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crítica / alta / média / baixa]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4. política / controlo objecto da excepção</w:t>
      </w:r>
    </w:p>
    <w:p>
      <w:pPr>
        <w:spacing w:before="120" w:after="60"/>
      </w:pPr>
      <w:r>
        <w:rPr>
          <w:rFonts w:ascii="Calibri" w:hAnsi="Calibri"/>
          <w:sz w:val="22"/>
        </w:rPr>
        <w:t>Identificar claramente qual a política ou controlo de segurança que não pode ser cumprido: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68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Detalhe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Política / norma / controlo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política de gestão de patches, controlo ISO 27001 A.12.6.1]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Requisito específico não cumprido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descrever o requisito concreto]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Duração da excepção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90 dias, até DD/MM/AAAA]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Motivo pelo qual o controlo não pode ser implementado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incompatibilidade técnica com sistema legado, aguardar versão do fornecedor]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5. justificação de negócio</w:t>
      </w:r>
    </w:p>
    <w:p>
      <w:pPr>
        <w:spacing w:before="120" w:after="60"/>
      </w:pPr>
      <w:r>
        <w:rPr>
          <w:rFonts w:ascii="Calibri" w:hAnsi="Calibri"/>
          <w:i/>
          <w:color w:val="888888"/>
          <w:sz w:val="22"/>
        </w:rPr>
        <w:t>[Preencher — descrever a necessidade de negócio que torna inevitável esta excepção, incluindo o impacto operacional ou financeiro de implementar o controlo imediatamente]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6. análise de risco</w:t>
      </w:r>
    </w:p>
    <w:p>
      <w:pPr>
        <w:spacing w:before="120" w:after="60"/>
      </w:pPr>
      <w:r>
        <w:rPr>
          <w:rFonts w:ascii="Calibri" w:hAnsi="Calibri"/>
          <w:sz w:val="22"/>
        </w:rPr>
        <w:t>Identificar e avaliar os riscos associados à não implementação do controlo: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Risco identificado</w:t>
            </w:r>
          </w:p>
        </w:tc>
        <w:tc>
          <w:tcPr>
            <w:tcW w:type="dxa" w:w="113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Probabilidade</w:t>
              <w:br/>
              <w:t>(1-5)</w:t>
            </w:r>
          </w:p>
        </w:tc>
        <w:tc>
          <w:tcPr>
            <w:tcW w:type="dxa" w:w="1134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Impacto</w:t>
              <w:br/>
              <w:t>(1-5)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Nível de risco</w:t>
            </w:r>
          </w:p>
        </w:tc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Medida de mitigação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ex: exploração de vulnerabilidade conhecida]</w:t>
            </w:r>
          </w:p>
        </w:tc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[Baixo/Médio/Alto/Crítico]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controlo compensatório]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1134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[Baixo/Médio/Alto/Crítico]</w:t>
            </w:r>
          </w:p>
        </w:tc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1134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[1-5]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[Baixo/Médio/Alto/Crítico]</w:t>
            </w:r>
          </w:p>
        </w:tc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7. controlos e condições compensatórias</w:t>
      </w:r>
    </w:p>
    <w:p>
      <w:pPr>
        <w:spacing w:before="120" w:after="60"/>
      </w:pPr>
      <w:r>
        <w:rPr>
          <w:rFonts w:ascii="Calibri" w:hAnsi="Calibri"/>
          <w:sz w:val="22"/>
        </w:rPr>
        <w:t>Listar os controlos adicionais implementados para mitigar o risco durante o período de excepção: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[Preencher — ex: monitorização reforçada com alertas em tempo real]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[Preencher — ex: isolamento do sistema afectado em VLAN segregada]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[Preencher — ex: revisão semanal de logs de acesso ao sistema]</w:t>
      </w:r>
    </w:p>
    <w:p>
      <w:pPr>
        <w:pStyle w:val="ListBullet"/>
        <w:spacing w:before="40" w:after="40"/>
      </w:pPr>
      <w:r>
        <w:rPr>
          <w:rFonts w:ascii="Calibri" w:hAnsi="Calibri"/>
          <w:sz w:val="22"/>
        </w:rPr>
        <w:t>[Preencher — ex: plano de remediação com marco de conclusão definido]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Os controlos compensatórios devem ser proporcionais ao risco identificado. A excepção não dispensa a implementação do controlo original — apenas adiá-la com salvaguardas adicionais.</w:t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8. período de validade 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2835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68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início da excepção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expiração da excepção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Data de revisão intercalar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 — opcional, recomendado para excepções &gt; 60 dias]</w:t>
            </w:r>
          </w:p>
        </w:tc>
      </w:tr>
      <w:tr>
        <w:tc>
          <w:tcPr>
            <w:tcW w:type="dxa" w:w="2835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Plano de remediação</w:t>
            </w:r>
          </w:p>
        </w:tc>
        <w:tc>
          <w:tcPr>
            <w:tcW w:type="dxa" w:w="68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 — descrever os passos para eliminar a necessidade desta excepção]</w:t>
            </w:r>
          </w:p>
        </w:tc>
      </w:tr>
      <w:tr>
        <w:tc>
          <w:tcPr>
            <w:tcW w:type="dxa" w:w="2835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Marco de conclusão da remediação</w:t>
            </w:r>
          </w:p>
        </w:tc>
        <w:tc>
          <w:tcPr>
            <w:tcW w:type="dxa" w:w="68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</w:tbl>
    <w:p>
      <w:pPr>
        <w:spacing w:before="160" w:after="80"/>
      </w:pP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9. 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2268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Função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1417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25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Decisão</w:t>
            </w:r>
          </w:p>
        </w:tc>
        <w:tc>
          <w:tcPr>
            <w:tcW w:type="dxa" w:w="170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CISO / responsável de segurança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aprovado / rejeitado]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268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Gestor de risco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5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aprovado / rejeitado]</w:t>
            </w:r>
          </w:p>
        </w:tc>
        <w:tc>
          <w:tcPr>
            <w:tcW w:type="dxa" w:w="170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268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Director de TI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417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  <w:tc>
          <w:tcPr>
            <w:tcW w:type="dxa" w:w="25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aprovado / rejeitado / N/A — apenas excepções críticas]</w:t>
            </w:r>
          </w:p>
        </w:tc>
        <w:tc>
          <w:tcPr>
            <w:tcW w:type="dxa" w:w="170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p>
      <w:r>
        <w:br w:type="page"/>
      </w:r>
    </w:p>
    <w:p>
      <w:pPr>
        <w:spacing w:before="400" w:after="160"/>
        <w:pBdr>
          <w:bottom w:val="single" w:sz="4" w:space="3" w:color="D0D0D0"/>
        </w:pBdr>
      </w:pPr>
      <w:r>
        <w:rPr>
          <w:rFonts w:ascii="Calibri" w:hAnsi="Calibri"/>
          <w:color w:val="2E86C1"/>
          <w:sz w:val="28"/>
        </w:rPr>
        <w:t xml:space="preserve">■ </w:t>
      </w:r>
      <w:r>
        <w:rPr>
          <w:rFonts w:ascii="Calibri" w:hAnsi="Calibri"/>
          <w:b/>
          <w:color w:val="1B3A5C"/>
          <w:sz w:val="32"/>
        </w:rPr>
        <w:t>Controlo do documento</w:t>
      </w:r>
    </w:p>
    <w:p>
      <w:pPr>
        <w:shd w:val="clear" w:color="auto" w:fill="E8F0FE"/>
        <w:pBdr>
          <w:left w:val="single" w:sz="18" w:space="8" w:color="1B3A5C"/>
        </w:pBdr>
        <w:spacing w:before="160" w:after="160"/>
        <w:ind w:left="284" w:right="284"/>
      </w:pPr>
      <w:r>
        <w:rPr>
          <w:rFonts w:ascii="Calibri" w:hAnsi="Calibri"/>
          <w:b/>
          <w:color w:val="1B3A5C"/>
          <w:sz w:val="20"/>
        </w:rPr>
        <w:t xml:space="preserve">NOTA: </w:t>
      </w:r>
      <w:r>
        <w:rPr>
          <w:rFonts w:ascii="Calibri" w:hAnsi="Calibri"/>
          <w:color w:val="333333"/>
          <w:sz w:val="20"/>
        </w:rPr>
        <w:t>Esta secção deve ser actualizada sempre que o documento for revisto ou aprovado. mantenha um registo rigoroso de todas as versões.</w:t>
      </w: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Histórico de versões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Autor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Alterações realizadas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Revisto por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0.1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Rascunho inicial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0.2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Versão aprovada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Aprovações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1881"/>
        <w:gridCol w:w="1881"/>
        <w:gridCol w:w="1881"/>
        <w:gridCol w:w="1881"/>
        <w:gridCol w:w="1881"/>
      </w:tblGrid>
      <w:tr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Versão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Data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Aprovador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 / autoridade</w:t>
            </w:r>
          </w:p>
        </w:tc>
        <w:tc>
          <w:tcPr>
            <w:tcW w:type="dxa" w:w="188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Assinatura</w:t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  <w:t>1.0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  <w:tr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188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Lista de Distribuição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2351"/>
        <w:gridCol w:w="2351"/>
        <w:gridCol w:w="2351"/>
        <w:gridCol w:w="2351"/>
      </w:tblGrid>
      <w:tr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Nome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Cargo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Departamento</w:t>
            </w:r>
          </w:p>
        </w:tc>
        <w:tc>
          <w:tcPr>
            <w:tcW w:type="dxa" w:w="2351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Email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  <w:tc>
          <w:tcPr>
            <w:tcW w:type="dxa" w:w="2351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  <w:tc>
          <w:tcPr>
            <w:tcW w:type="dxa" w:w="2351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color w:val="444444"/>
                <w:sz w:val="20"/>
              </w:rPr>
            </w:r>
          </w:p>
        </w:tc>
      </w:tr>
    </w:tbl>
    <w:p>
      <w:pPr>
        <w:spacing w:before="160" w:after="80"/>
      </w:pPr>
    </w:p>
    <w:p>
      <w:pPr>
        <w:spacing w:before="320" w:after="160"/>
        <w:pBdr>
          <w:left w:val="single" w:sz="12" w:space="8" w:color="2E86C1"/>
        </w:pBdr>
      </w:pPr>
      <w:r>
        <w:rPr>
          <w:rFonts w:ascii="Calibri" w:hAnsi="Calibri"/>
          <w:b/>
          <w:color w:val="1B3A5C"/>
          <w:sz w:val="28"/>
        </w:rPr>
        <w:t>Calendário de Revisão</w:t>
      </w:r>
    </w:p>
    <w:tbl>
      <w:tblPr>
        <w:tblStyle w:val="TableGrid"/>
        <w:tblW w:type="auto" w:w="0"/>
        <w:jc w:val="left"/>
        <w:tblLook w:firstColumn="1" w:firstRow="1" w:lastColumn="0" w:lastRow="0" w:noHBand="0" w:noVBand="1" w:val="04A0"/>
      </w:tblPr>
      <w:tblGrid>
        <w:gridCol w:w="4703"/>
        <w:gridCol w:w="4703"/>
      </w:tblGrid>
      <w:tr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Campo</w:t>
            </w:r>
          </w:p>
        </w:tc>
        <w:tc>
          <w:tcPr>
            <w:tcW w:type="dxa" w:w="4703"/>
            <w:shd w:val="clear" w:color="auto" w:fill="1B3A5C"/>
            <w:tcBorders>
              <w:top w:val="single" w:sz="4" w:space="0" w:color="1B3A5C"/>
              <w:left w:val="single" w:sz="4" w:space="0" w:color="1B3A5C"/>
              <w:bottom w:val="single" w:sz="4" w:space="0" w:color="1B3A5C"/>
              <w:right w:val="single" w:sz="4" w:space="0" w:color="1B3A5C"/>
            </w:tcBorders>
            <w:vAlign w:val="center"/>
          </w:tcPr>
          <w:p>
            <w:pPr>
              <w:spacing w:before="100" w:after="100"/>
            </w:pPr>
            <w:r>
              <w:rPr>
                <w:rFonts w:ascii="Calibri" w:hAnsi="Calibri"/>
                <w:b/>
                <w:color w:val="FFFFFF"/>
                <w:sz w:val="20"/>
              </w:rPr>
              <w:t>Valor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Proprietário do documento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Próxima revisão agendada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[DD/MM/AAAA]</w:t>
            </w:r>
          </w:p>
        </w:tc>
      </w:tr>
      <w:tr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Frequência de revisão</w:t>
            </w:r>
          </w:p>
        </w:tc>
        <w:tc>
          <w:tcPr>
            <w:tcW w:type="dxa" w:w="4703"/>
            <w:shd w:val="clear" w:color="auto" w:fill="F5F5F5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[Seleccionar: trimestral / semestral / anual]</w:t>
            </w:r>
          </w:p>
        </w:tc>
      </w:tr>
      <w:tr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b/>
                <w:color w:val="333333"/>
                <w:sz w:val="20"/>
              </w:rPr>
              <w:t>Autoridade de revisão</w:t>
            </w:r>
          </w:p>
        </w:tc>
        <w:tc>
          <w:tcPr>
            <w:tcW w:type="dxa" w:w="4703"/>
            <w:shd w:val="clear" w:color="auto" w:fill="FFFFFF"/>
            <w:tcBorders>
              <w:top w:val="single" w:sz="4" w:space="0" w:color="BFBFBF"/>
              <w:left w:val="single" w:sz="4" w:space="0" w:color="BFBFBF"/>
              <w:bottom w:val="single" w:sz="4" w:space="0" w:color="BFBFBF"/>
              <w:right w:val="single" w:sz="4" w:space="0" w:color="BFBFBF"/>
            </w:tcBorders>
            <w:vAlign w:val="center"/>
          </w:tcPr>
          <w:p>
            <w:pPr>
              <w:spacing w:before="80" w:after="80"/>
            </w:pPr>
            <w:r>
              <w:rPr>
                <w:rFonts w:ascii="Calibri" w:hAnsi="Calibri"/>
                <w:i/>
                <w:color w:val="999999"/>
                <w:sz w:val="20"/>
              </w:rPr>
              <w:t>[Preencher]</w:t>
            </w:r>
          </w:p>
        </w:tc>
      </w:tr>
    </w:tbl>
    <w:p>
      <w:pPr>
        <w:spacing w:before="160" w:after="80"/>
      </w:pPr>
    </w:p>
    <w:sectPr w:rsidR="00FC693F" w:rsidRPr="0006063C" w:rsidSect="00034616">
      <w:headerReference w:type="default" r:id="rId9"/>
      <w:footerReference w:type="default" r:id="rId10"/>
      <w:pgSz w:w="12240" w:h="15840"/>
      <w:pgMar w:top="1417" w:right="1417" w:bottom="1417" w:left="1417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pBdr>
        <w:top w:val="single" w:sz="4" w:space="4" w:color="D0D0D0"/>
      </w:pBdr>
      <w:tabs>
        <w:tab w:val="center" w:pos="4536"/>
        <w:tab w:val="right" w:pos="9072"/>
      </w:tabs>
    </w:pPr>
    <w:r>
      <w:rPr>
        <w:rFonts w:ascii="Calibri" w:hAnsi="Calibri"/>
        <w:color w:val="999999"/>
        <w:sz w:val="14"/>
      </w:rPr>
      <w:t>Better Skills — better-skills.com</w:t>
    </w:r>
    <w:r>
      <w:rPr>
        <w:sz w:val="14"/>
      </w:rPr>
      <w:tab/>
    </w:r>
    <w:r>
      <w:rPr>
        <w:rFonts w:ascii="Calibri" w:hAnsi="Calibri"/>
        <w:b/>
        <w:color w:val="2E86C1"/>
        <w:sz w:val="14"/>
      </w:rPr>
      <w:t>Confidencial</w:t>
    </w:r>
    <w:r>
      <w:rPr>
        <w:sz w:val="14"/>
      </w:rPr>
      <w:tab/>
    </w:r>
    <w:r>
      <w:rPr>
        <w:rFonts w:ascii="Calibri" w:hAnsi="Calibri"/>
        <w:color w:val="999999"/>
        <w:sz w:val="14"/>
      </w:rPr>
      <w:t xml:space="preserve">Página </w:t>
    </w:r>
    <w:r>
      <w:rPr>
        <w:rFonts w:ascii="Calibri" w:hAnsi="Calibri"/>
        <w:color w:val="999999"/>
        <w:sz w:val="14"/>
      </w:rPr>
      <w:fldChar w:fldCharType="begin"/>
      <w:instrText> PAGE </w:instrText>
      <w:fldChar w:fldCharType="end"/>
    </w:r>
    <w:r>
      <w:rPr>
        <w:rFonts w:ascii="Calibri" w:hAnsi="Calibri"/>
        <w:color w:val="999999"/>
        <w:sz w:val="14"/>
      </w:rPr>
      <w:t xml:space="preserve"> de </w:t>
    </w:r>
    <w:r>
      <w:rPr>
        <w:rFonts w:ascii="Calibri" w:hAnsi="Calibri"/>
        <w:color w:val="999999"/>
        <w:sz w:val="14"/>
      </w:rPr>
      <w:fldChar w:fldCharType="begin"/>
      <w:instrText> NUMPAGES </w:instrText>
      <w:fldChar w:fldCharType="end"/>
    </w:r>
  </w:p>
  <w:p>
    <w:pPr>
      <w:jc w:val="center"/>
    </w:pPr>
    <w:r>
      <w:rPr>
        <w:rFonts w:ascii="Calibri" w:hAnsi="Calibri"/>
        <w:i/>
        <w:color w:val="BBBBBB"/>
        <w:sz w:val="14"/>
      </w:rPr>
      <w:t>Baseado nas boas práticas ITIL® 4. ITIL® é marca registada da PeopleCert.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tabs>
        <w:tab w:val="right" w:pos="9072"/>
      </w:tabs>
      <w:pBdr>
        <w:bottom w:val="single" w:sz="4" w:space="4" w:color="D0D0D0"/>
      </w:pBdr>
    </w:pPr>
    <w:r>
      <w:rPr>
        <w:rFonts w:ascii="Calibri" w:hAnsi="Calibri"/>
        <w:b/>
        <w:color w:val="1B3A5C"/>
        <w:sz w:val="16"/>
      </w:rPr>
      <w:t>Better Skills</w:t>
    </w:r>
    <w:r>
      <w:rPr>
        <w:sz w:val="16"/>
      </w:rPr>
      <w:tab/>
    </w:r>
    <w:r>
      <w:rPr>
        <w:rFonts w:ascii="Calibri" w:hAnsi="Calibri"/>
        <w:i/>
        <w:color w:val="999999"/>
        <w:sz w:val="16"/>
      </w:rPr>
      <w:t>Formulário de excepção de segurança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