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 w:line="3400" w:lineRule="exact"/>
        <w:jc w:val="center"/>
      </w:pPr>
      <w:r/>
    </w:p>
    <w:p>
      <w:pPr>
        <w:spacing w:before="0" w:after="80"/>
        <w:jc w:val="center"/>
      </w:pPr>
      <w:r>
        <w:rPr>
          <w:rFonts w:ascii="Calibri" w:hAnsi="Calibri"/>
          <w:b/>
          <w:color w:val="1B3A5C"/>
          <w:sz w:val="56"/>
        </w:rPr>
        <w:t>Better Skills</w:t>
      </w:r>
    </w:p>
    <w:p>
      <w:pPr>
        <w:spacing w:before="0" w:after="0"/>
        <w:jc w:val="center"/>
      </w:pPr>
      <w:r>
        <w:rPr>
          <w:rFonts w:ascii="Calibri" w:hAnsi="Calibri"/>
          <w:color w:val="6B7280"/>
          <w:sz w:val="22"/>
        </w:rPr>
        <w:t>better-skills.com</w:t>
      </w:r>
    </w:p>
    <w:p>
      <w:pPr>
        <w:spacing w:before="0" w:after="0" w:line="1700" w:lineRule="exact"/>
        <w:jc w:val="center"/>
      </w:pPr>
      <w:r/>
    </w:p>
    <w:p>
      <w:pPr>
        <w:spacing w:before="0" w:after="200"/>
        <w:jc w:val="center"/>
      </w:pPr>
      <w:r>
        <w:rPr>
          <w:rFonts w:ascii="Calibri" w:hAnsi="Calibri"/>
          <w:color w:val="9CA3AF"/>
          <w:sz w:val="20"/>
        </w:rPr>
        <w:t>MANUAL DE PROCESSO</w:t>
      </w:r>
    </w:p>
    <w:p>
      <w:pPr>
        <w:spacing w:before="0" w:after="160"/>
        <w:jc w:val="center"/>
      </w:pPr>
      <w:r>
        <w:rPr>
          <w:rFonts w:ascii="Calibri" w:hAnsi="Calibri"/>
          <w:b/>
          <w:color w:val="1B3A5C"/>
          <w:sz w:val="56"/>
        </w:rPr>
        <w:t>Gestão de incidentes</w:t>
      </w:r>
    </w:p>
    <w:p>
      <w:pPr>
        <w:spacing w:before="0" w:after="0"/>
        <w:jc w:val="center"/>
      </w:pPr>
      <w:r>
        <w:rPr>
          <w:rFonts w:ascii="Calibri" w:hAnsi="Calibri"/>
          <w:i/>
          <w:color w:val="6B7280"/>
          <w:sz w:val="24"/>
        </w:rPr>
        <w:t>Processo end-to-end alinhado com ITIL</w:t>
      </w:r>
    </w:p>
    <w:p>
      <w:pPr>
        <w:spacing w:before="0" w:after="0" w:line="2260" w:lineRule="exact"/>
        <w:jc w:val="center"/>
      </w:pPr>
      <w:r/>
    </w:p>
    <w:p>
      <w:pPr>
        <w:spacing w:before="0" w:after="40"/>
        <w:jc w:val="center"/>
      </w:pPr>
      <w:r>
        <w:rPr>
          <w:rFonts w:ascii="Calibri" w:hAnsi="Calibri"/>
          <w:color w:val="6B7280"/>
          <w:sz w:val="20"/>
        </w:rPr>
        <w:t>Versão 2.0</w:t>
      </w:r>
    </w:p>
    <w:p>
      <w:pPr>
        <w:spacing w:before="0" w:after="0"/>
        <w:jc w:val="center"/>
      </w:pPr>
      <w:r>
        <w:rPr>
          <w:rFonts w:ascii="Calibri" w:hAnsi="Calibri"/>
          <w:color w:val="6B7280"/>
          <w:sz w:val="20"/>
        </w:rPr>
        <w:t>Março 2026</w:t>
      </w:r>
    </w:p>
    <w:p>
      <w:r>
        <w:br w:type="page"/>
      </w:r>
    </w:p>
    <w:p>
      <w:pPr>
        <w:spacing w:before="0" w:after="16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Controlo de versões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1134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984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2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4252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</w:tr>
      <w:tr>
        <w:tc>
          <w:tcPr>
            <w:tcW w:type="dxa" w:w="1134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1.0</w:t>
            </w:r>
          </w:p>
        </w:tc>
        <w:tc>
          <w:tcPr>
            <w:tcW w:type="dxa" w:w="1984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Março 2026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Better Skills</w:t>
            </w:r>
          </w:p>
        </w:tc>
        <w:tc>
          <w:tcPr>
            <w:tcW w:type="dxa" w:w="4252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Versão inicial do documento</w:t>
            </w:r>
          </w:p>
        </w:tc>
      </w:tr>
      <w:tr>
        <w:tc>
          <w:tcPr>
            <w:tcW w:type="dxa" w:w="1134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2.0</w:t>
            </w:r>
          </w:p>
        </w:tc>
        <w:tc>
          <w:tcPr>
            <w:tcW w:type="dxa" w:w="1984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Março 2026</w:t>
            </w:r>
          </w:p>
        </w:tc>
        <w:tc>
          <w:tcPr>
            <w:tcW w:type="dxa" w:w="2268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Better Skills</w:t>
            </w:r>
          </w:p>
        </w:tc>
        <w:tc>
          <w:tcPr>
            <w:tcW w:type="dxa" w:w="4252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Revisão e melhoria da documentação</w:t>
            </w:r>
          </w:p>
        </w:tc>
      </w:tr>
    </w:tbl>
    <w:p>
      <w:r>
        <w:br w:type="page"/>
      </w:r>
    </w:p>
    <w:p>
      <w:pPr>
        <w:spacing w:before="0" w:after="320" w:line="432" w:lineRule="exact"/>
        <w:jc w:val="left"/>
      </w:pPr>
      <w:r>
        <w:rPr>
          <w:rFonts w:ascii="Calibri" w:hAnsi="Calibri"/>
          <w:b/>
          <w:color w:val="1B3A5C"/>
          <w:sz w:val="36"/>
        </w:rPr>
        <w:t>Índice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1.  </w:t>
      </w:r>
      <w:r>
        <w:rPr>
          <w:rFonts w:ascii="Calibri" w:hAnsi="Calibri"/>
          <w:color w:val="000000"/>
          <w:sz w:val="22"/>
        </w:rPr>
        <w:t>Propósito e objectivo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2.  </w:t>
      </w:r>
      <w:r>
        <w:rPr>
          <w:rFonts w:ascii="Calibri" w:hAnsi="Calibri"/>
          <w:color w:val="000000"/>
          <w:sz w:val="22"/>
        </w:rPr>
        <w:t>Fluxo do processo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3.  </w:t>
      </w:r>
      <w:r>
        <w:rPr>
          <w:rFonts w:ascii="Calibri" w:hAnsi="Calibri"/>
          <w:color w:val="000000"/>
          <w:sz w:val="22"/>
        </w:rPr>
        <w:t>Macro actividades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4.  </w:t>
      </w:r>
      <w:r>
        <w:rPr>
          <w:rFonts w:ascii="Calibri" w:hAnsi="Calibri"/>
          <w:color w:val="000000"/>
          <w:sz w:val="22"/>
        </w:rPr>
        <w:t>Responsabilidades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5.  </w:t>
      </w:r>
      <w:r>
        <w:rPr>
          <w:rFonts w:ascii="Calibri" w:hAnsi="Calibri"/>
          <w:color w:val="000000"/>
          <w:sz w:val="22"/>
        </w:rPr>
        <w:t>Matriz RACI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6.  </w:t>
      </w:r>
      <w:r>
        <w:rPr>
          <w:rFonts w:ascii="Calibri" w:hAnsi="Calibri"/>
          <w:color w:val="000000"/>
          <w:sz w:val="22"/>
        </w:rPr>
        <w:t>Métricas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7.  </w:t>
      </w:r>
      <w:r>
        <w:rPr>
          <w:rFonts w:ascii="Calibri" w:hAnsi="Calibri"/>
          <w:color w:val="000000"/>
          <w:sz w:val="22"/>
        </w:rPr>
        <w:t>Descrição detalhada das actividades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8.  </w:t>
      </w:r>
      <w:r>
        <w:rPr>
          <w:rFonts w:ascii="Calibri" w:hAnsi="Calibri"/>
          <w:color w:val="000000"/>
          <w:sz w:val="22"/>
        </w:rPr>
        <w:t>Interfaces com outros processos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9.  </w:t>
      </w:r>
      <w:r>
        <w:rPr>
          <w:rFonts w:ascii="Calibri" w:hAnsi="Calibri"/>
          <w:color w:val="000000"/>
          <w:sz w:val="22"/>
        </w:rPr>
        <w:t>Ciclo de vida do incidente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10.  </w:t>
      </w:r>
      <w:r>
        <w:rPr>
          <w:rFonts w:ascii="Calibri" w:hAnsi="Calibri"/>
          <w:color w:val="000000"/>
          <w:sz w:val="22"/>
        </w:rPr>
        <w:t>Conceitos</w:t>
      </w:r>
    </w:p>
    <w:p>
      <w:r>
        <w:br w:type="page"/>
      </w:r>
    </w:p>
    <w:p>
      <w:pPr>
        <w:spacing w:before="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1. Propósito e objectivo</w:t>
      </w:r>
    </w:p>
    <w:p>
      <w:pPr>
        <w:spacing w:before="160" w:after="120" w:line="253" w:lineRule="exact"/>
        <w:jc w:val="both"/>
      </w:pPr>
      <w:r>
        <w:rPr>
          <w:rFonts w:ascii="Calibri" w:hAnsi="Calibri"/>
          <w:b/>
          <w:i w:val="0"/>
          <w:color w:val="1B3A5C"/>
          <w:sz w:val="22"/>
        </w:rPr>
        <w:t xml:space="preserve">Propósito: </w:t>
      </w:r>
      <w:r>
        <w:rPr>
          <w:rFonts w:ascii="Calibri" w:hAnsi="Calibri"/>
          <w:b w:val="0"/>
          <w:i w:val="0"/>
          <w:color w:val="000000"/>
          <w:sz w:val="22"/>
        </w:rPr>
        <w:t>Minimizar o impacto negativo dos incidentes no negócio, restaurando a operação normal dos serviços o mais rapidamente possível.</w:t>
      </w:r>
    </w:p>
    <w:p>
      <w:pPr>
        <w:spacing w:before="160" w:after="120" w:line="253" w:lineRule="exact"/>
        <w:jc w:val="both"/>
      </w:pPr>
      <w:r>
        <w:rPr>
          <w:rFonts w:ascii="Calibri" w:hAnsi="Calibri"/>
          <w:b/>
          <w:i w:val="0"/>
          <w:color w:val="1B3A5C"/>
          <w:sz w:val="22"/>
        </w:rPr>
        <w:t xml:space="preserve">Objectivo: </w:t>
      </w:r>
      <w:r>
        <w:rPr>
          <w:rFonts w:ascii="Calibri" w:hAnsi="Calibri"/>
          <w:b w:val="0"/>
          <w:i w:val="0"/>
          <w:color w:val="000000"/>
          <w:sz w:val="22"/>
        </w:rPr>
        <w:t>Garantir que as interrupções e degradações de serviço são detectadas, registadas, classificadas, investigadas e resolvidas de forma estruturada, com comunicação adequada aos utilizadores afectados.</w:t>
      </w:r>
    </w:p>
    <w:p>
      <w:pPr>
        <w:spacing w:before="160" w:after="120" w:line="253" w:lineRule="exact"/>
        <w:jc w:val="both"/>
      </w:pPr>
      <w:r>
        <w:rPr>
          <w:rFonts w:ascii="Calibri" w:hAnsi="Calibri"/>
          <w:b/>
          <w:i w:val="0"/>
          <w:color w:val="1B3A5C"/>
          <w:sz w:val="22"/>
        </w:rPr>
        <w:t xml:space="preserve">Âmbito: </w:t>
      </w:r>
      <w:r>
        <w:rPr>
          <w:rFonts w:ascii="Calibri" w:hAnsi="Calibri"/>
          <w:b w:val="0"/>
          <w:i w:val="0"/>
          <w:color w:val="000000"/>
          <w:sz w:val="22"/>
        </w:rPr>
        <w:t>Este processo cobre todas as actividades desde a detecção ou reporte de um incidente até ao seu encerramento e validação pelo utilizador. Aplica-se a todos os serviços geridos pela organização.</w:t>
      </w:r>
    </w:p>
    <w:p>
      <w:pPr>
        <w:spacing w:before="160" w:after="120" w:line="253" w:lineRule="exact"/>
        <w:jc w:val="both"/>
      </w:pPr>
      <w:r>
        <w:rPr>
          <w:rFonts w:ascii="Calibri" w:hAnsi="Calibri"/>
          <w:b/>
          <w:i w:val="0"/>
          <w:color w:val="1B3A5C"/>
          <w:sz w:val="22"/>
        </w:rPr>
        <w:t xml:space="preserve">Fora do âmbito: </w:t>
      </w:r>
      <w:r>
        <w:rPr>
          <w:rFonts w:ascii="Calibri" w:hAnsi="Calibri"/>
          <w:b w:val="0"/>
          <w:i w:val="0"/>
          <w:color w:val="000000"/>
          <w:sz w:val="22"/>
        </w:rPr>
        <w:t>A investigação de causa-raiz de incidentes recorrentes é tratada no processo de gestão de problemas. A implementação de alterações permanentes segue o processo de change enablement.</w:t>
      </w:r>
    </w:p>
    <w:p>
      <w:pPr>
        <w:spacing w:before="160" w:after="120" w:line="253" w:lineRule="exact"/>
        <w:jc w:val="both"/>
      </w:pPr>
      <w:r>
        <w:rPr>
          <w:rFonts w:ascii="Calibri" w:hAnsi="Calibri"/>
          <w:b/>
          <w:i w:val="0"/>
          <w:color w:val="1B3A5C"/>
          <w:sz w:val="22"/>
        </w:rPr>
        <w:t xml:space="preserve">Trigger: </w:t>
      </w:r>
      <w:r>
        <w:rPr>
          <w:rFonts w:ascii="Calibri" w:hAnsi="Calibri"/>
          <w:b w:val="0"/>
          <w:i w:val="0"/>
          <w:color w:val="000000"/>
          <w:sz w:val="22"/>
        </w:rPr>
        <w:t>O processo é iniciado quando uma interrupção ou degradação de serviço é detectada, seja pelo utilizador (via portal, telefone ou email), por alertas de monitorização automatizada, ou por correlação de eventos.</w:t>
      </w:r>
    </w:p>
    <w:p>
      <w:r>
        <w:br w:type="page"/>
      </w:r>
    </w:p>
    <w:p>
      <w:pPr>
        <w:spacing w:before="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2. Fluxo do processo</w:t>
      </w:r>
    </w:p>
    <w:p>
      <w:pPr>
        <w:spacing w:before="0" w:after="20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As actividades do processo de gestão de incidentes desenvolvem-se de forma sequencial, com um ponto de decisão após o diagnóstico de primeiro nível. O quadro seguinte descreve cada fase e os seus critérios de transição.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Fase</w:t>
            </w:r>
          </w:p>
        </w:tc>
        <w:tc>
          <w:tcPr>
            <w:tcW w:type="dxa" w:w="7087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</w:tr>
      <w:tr>
        <w:tc>
          <w:tcPr>
            <w:tcW w:type="dxa" w:w="2551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1. Detecção</w:t>
            </w:r>
          </w:p>
        </w:tc>
        <w:tc>
          <w:tcPr>
            <w:tcW w:type="dxa" w:w="70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 utilizador reporta uma interrupção ou degradação, ou o sistema de monitorização gera um alerta automático.</w:t>
            </w:r>
          </w:p>
        </w:tc>
      </w:tr>
      <w:tr>
        <w:tc>
          <w:tcPr>
            <w:tcW w:type="dxa" w:w="2551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2. Registo</w:t>
            </w:r>
          </w:p>
        </w:tc>
        <w:tc>
          <w:tcPr>
            <w:tcW w:type="dxa" w:w="70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 service desk cria o registo na ferramenta ITSM com todos os dados relevantes: utilizador, serviço afectado, descrição dos sintomas e hora de ocorrência.</w:t>
            </w:r>
          </w:p>
        </w:tc>
      </w:tr>
      <w:tr>
        <w:tc>
          <w:tcPr>
            <w:tcW w:type="dxa" w:w="2551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3. Classificação</w:t>
            </w:r>
          </w:p>
        </w:tc>
        <w:tc>
          <w:tcPr>
            <w:tcW w:type="dxa" w:w="70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Atribuição de categoria, impacto, urgência e prioridade. A prioridade determina o SLA aplicável e o nível de resposta exigido.</w:t>
            </w:r>
          </w:p>
        </w:tc>
      </w:tr>
      <w:tr>
        <w:tc>
          <w:tcPr>
            <w:tcW w:type="dxa" w:w="2551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4. Diagnóstico L1</w:t>
            </w:r>
          </w:p>
        </w:tc>
        <w:tc>
          <w:tcPr>
            <w:tcW w:type="dxa" w:w="70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 service desk tenta resolver o incidente com base na documentação disponível e na base de conhecimento. Aplicam-se workarounds quando disponíveis.</w:t>
            </w:r>
          </w:p>
        </w:tc>
      </w:tr>
      <w:tr>
        <w:tc>
          <w:tcPr>
            <w:tcW w:type="dxa" w:w="2551"/>
            <w:shd w:val="clear" w:color="auto" w:fill="FEF3C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5C4700"/>
                <w:sz w:val="20"/>
              </w:rPr>
              <w:t>Decisão: resolvido?</w:t>
            </w:r>
          </w:p>
        </w:tc>
        <w:tc>
          <w:tcPr>
            <w:tcW w:type="dxa" w:w="7087"/>
            <w:shd w:val="clear" w:color="auto" w:fill="FEF9C3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Sim: avança para comunicação e encerramento (passo 7). Não: segue para escalação (passo 5).</w:t>
            </w:r>
          </w:p>
        </w:tc>
      </w:tr>
      <w:tr>
        <w:tc>
          <w:tcPr>
            <w:tcW w:type="dxa" w:w="2551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5. Escalação</w:t>
            </w:r>
          </w:p>
        </w:tc>
        <w:tc>
          <w:tcPr>
            <w:tcW w:type="dxa" w:w="70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 incidente é atribuído à equipa técnica L2/L3 com toda a informação de diagnóstico recolhida durante o atendimento de primeiro nível.</w:t>
            </w:r>
          </w:p>
        </w:tc>
      </w:tr>
      <w:tr>
        <w:tc>
          <w:tcPr>
            <w:tcW w:type="dxa" w:w="2551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6. Resolução</w:t>
            </w:r>
          </w:p>
        </w:tc>
        <w:tc>
          <w:tcPr>
            <w:tcW w:type="dxa" w:w="70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 equipa técnica identifica a causa, aplica a correção e verifica o restabelecimento do serviço no ambiente produtivo.</w:t>
            </w:r>
          </w:p>
        </w:tc>
      </w:tr>
      <w:tr>
        <w:tc>
          <w:tcPr>
            <w:tcW w:type="dxa" w:w="2551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7. Comunicação</w:t>
            </w:r>
          </w:p>
        </w:tc>
        <w:tc>
          <w:tcPr>
            <w:tcW w:type="dxa" w:w="70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 service desk informa o utilizador da resolução aplicada e solicita confirmação de que o serviço está operacional.</w:t>
            </w:r>
          </w:p>
        </w:tc>
      </w:tr>
      <w:tr>
        <w:tc>
          <w:tcPr>
            <w:tcW w:type="dxa" w:w="2551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 Encerramento</w:t>
            </w:r>
          </w:p>
        </w:tc>
        <w:tc>
          <w:tcPr>
            <w:tcW w:type="dxa" w:w="70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 utilizador confirma a resolução. O service desk encerra o registo, actualiza a documentação e regista lições aprendidas.</w:t>
            </w:r>
          </w:p>
        </w:tc>
      </w:tr>
    </w:tbl>
    <w:p>
      <w:pPr>
        <w:spacing w:before="240" w:after="0" w:line="253" w:lineRule="exact"/>
        <w:jc w:val="both"/>
      </w:pPr>
    </w:p>
    <w:p>
      <w:pPr>
        <w:spacing w:before="240" w:after="120" w:line="288" w:lineRule="exact"/>
        <w:jc w:val="left"/>
      </w:pPr>
      <w:r>
        <w:rPr>
          <w:rFonts w:ascii="Calibri" w:hAnsi="Calibri"/>
          <w:b/>
          <w:color w:val="1B3A5C"/>
          <w:sz w:val="24"/>
        </w:rPr>
        <w:t>Diagrama de processo</w:t>
      </w:r>
    </w:p>
    <w:p>
      <w:pPr>
        <w:spacing w:before="0" w:after="16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O diagrama seguinte representa o fluxo do processo de gestão de incidentes organizado por actor (swimlane).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rPr>
          <w:trHeight w:val="567" w:hRule="atLeast"/>
        </w:trPr>
        <w:tc>
          <w:tcPr>
            <w:tcW w:type="dxa" w:w="1417"/>
            <w:shd w:val="clear" w:color="auto" w:fill="1B3A5C"/>
          </w:tcPr>
          <w:p>
            <w:pPr>
              <w:spacing w:before="80" w:after="80"/>
            </w:pPr>
          </w:p>
        </w:tc>
        <w:tc>
          <w:tcPr>
            <w:tcW w:type="dxa" w:w="2721"/>
            <w:shd w:val="clear" w:color="auto" w:fill="1B3A5C"/>
          </w:tcPr>
          <w:p>
            <w:pPr>
              <w:spacing w:before="120" w:after="12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Detecção e registo</w:t>
            </w:r>
          </w:p>
        </w:tc>
        <w:tc>
          <w:tcPr>
            <w:tcW w:type="dxa" w:w="2721"/>
            <w:shd w:val="clear" w:color="auto" w:fill="1B3A5C"/>
          </w:tcPr>
          <w:p>
            <w:pPr>
              <w:spacing w:before="120" w:after="12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Diagnóstico e resolução</w:t>
            </w:r>
          </w:p>
        </w:tc>
        <w:tc>
          <w:tcPr>
            <w:tcW w:type="dxa" w:w="2721"/>
            <w:shd w:val="clear" w:color="auto" w:fill="1B3A5C"/>
          </w:tcPr>
          <w:p>
            <w:pPr>
              <w:spacing w:before="120" w:after="12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Encerramento</w:t>
            </w:r>
          </w:p>
        </w:tc>
      </w:tr>
      <w:tr>
        <w:trPr>
          <w:trHeight w:val="1701" w:hRule="atLeast"/>
        </w:trPr>
        <w:tc>
          <w:tcPr>
            <w:tcW w:type="dxa" w:w="1417"/>
            <w:shd w:val="clear" w:color="auto" w:fill="E8F0FE"/>
          </w:tcPr>
          <w:p>
            <w:pPr>
              <w:spacing w:before="280" w:after="28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Utilizador</w:t>
            </w:r>
          </w:p>
        </w:tc>
        <w:tc>
          <w:tcPr>
            <w:tcW w:type="dxa" w:w="2721"/>
            <w:shd w:val="clear" w:color="auto" w:fill="EFF6FF"/>
            <w:tcBorders>
              <w:top w:val="single" w:sz="6" w:space="0" w:color="BFDBFE"/>
              <w:bottom w:val="single" w:sz="6" w:space="0" w:color="BFDBFE"/>
              <w:left w:val="single" w:sz="6" w:space="0" w:color="BFDBFE"/>
              <w:right w:val="single" w:sz="6" w:space="0" w:color="BFDBFE"/>
            </w:tcBorders>
          </w:tcPr>
          <w:p>
            <w:pPr>
              <w:spacing w:before="200" w:after="4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Reporta incidente</w:t>
            </w:r>
          </w:p>
          <w:p>
            <w:pPr>
              <w:spacing w:before="40" w:after="4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6B7280"/>
                <w:sz w:val="18"/>
              </w:rPr>
              <w:t>(portal, telefone, email)</w:t>
            </w:r>
          </w:p>
          <w:p>
            <w:pPr>
              <w:spacing w:before="80" w:after="80" w:line="322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6B7280"/>
                <w:sz w:val="28"/>
              </w:rPr>
              <w:t>↓</w:t>
            </w:r>
          </w:p>
        </w:tc>
        <w:tc>
          <w:tcPr>
            <w:tcW w:type="dxa" w:w="2721"/>
            <w:shd w:val="clear" w:color="auto" w:fill="FFFFFF"/>
          </w:tcPr>
          <w:p/>
        </w:tc>
        <w:tc>
          <w:tcPr>
            <w:tcW w:type="dxa" w:w="2721"/>
            <w:shd w:val="clear" w:color="auto" w:fill="EFF6FF"/>
            <w:tcBorders>
              <w:top w:val="single" w:sz="6" w:space="0" w:color="BFDBFE"/>
              <w:bottom w:val="single" w:sz="6" w:space="0" w:color="BFDBFE"/>
              <w:left w:val="single" w:sz="6" w:space="0" w:color="BFDBFE"/>
              <w:right w:val="single" w:sz="6" w:space="0" w:color="BFDBFE"/>
            </w:tcBorders>
          </w:tcPr>
          <w:p>
            <w:pPr>
              <w:spacing w:before="200" w:after="4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Confirma resolução</w:t>
            </w:r>
          </w:p>
          <w:p>
            <w:pPr>
              <w:spacing w:before="40" w:after="4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6B7280"/>
                <w:sz w:val="18"/>
              </w:rPr>
              <w:t>(ou encerramento automático)</w:t>
            </w:r>
          </w:p>
        </w:tc>
      </w:tr>
      <w:tr>
        <w:trPr>
          <w:trHeight w:val="1984" w:hRule="atLeast"/>
        </w:trPr>
        <w:tc>
          <w:tcPr>
            <w:tcW w:type="dxa" w:w="1417"/>
            <w:shd w:val="clear" w:color="auto" w:fill="DBEAFE"/>
          </w:tcPr>
          <w:p>
            <w:pPr>
              <w:spacing w:before="320" w:after="32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Service desk</w:t>
            </w:r>
          </w:p>
        </w:tc>
        <w:tc>
          <w:tcPr>
            <w:tcW w:type="dxa" w:w="2721"/>
            <w:shd w:val="clear" w:color="auto" w:fill="EFF6FF"/>
            <w:tcBorders>
              <w:top w:val="single" w:sz="6" w:space="0" w:color="93C5FD"/>
              <w:bottom w:val="single" w:sz="6" w:space="0" w:color="93C5FD"/>
              <w:left w:val="single" w:sz="6" w:space="0" w:color="93C5FD"/>
              <w:right w:val="single" w:sz="6" w:space="0" w:color="93C5FD"/>
            </w:tcBorders>
          </w:tcPr>
          <w:p>
            <w:pPr>
              <w:spacing w:before="160" w:after="4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Regista e classifica</w:t>
            </w:r>
          </w:p>
          <w:p>
            <w:pPr>
              <w:spacing w:before="40" w:after="4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6B7280"/>
                <w:sz w:val="18"/>
              </w:rPr>
              <w:t>(categoria, impacto,</w:t>
            </w:r>
          </w:p>
          <w:p>
            <w:pPr>
              <w:spacing w:before="40" w:after="4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6B7280"/>
                <w:sz w:val="18"/>
              </w:rPr>
              <w:t>urgência, prioridade)</w:t>
            </w:r>
          </w:p>
          <w:p>
            <w:pPr>
              <w:spacing w:before="80" w:after="80" w:line="322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6B7280"/>
                <w:sz w:val="28"/>
              </w:rPr>
              <w:t>→</w:t>
            </w:r>
          </w:p>
        </w:tc>
        <w:tc>
          <w:tcPr>
            <w:tcW w:type="dxa" w:w="2721"/>
            <w:shd w:val="clear" w:color="auto" w:fill="EFF6FF"/>
            <w:tcBorders>
              <w:top w:val="single" w:sz="6" w:space="0" w:color="93C5FD"/>
              <w:bottom w:val="single" w:sz="6" w:space="0" w:color="93C5FD"/>
              <w:left w:val="single" w:sz="6" w:space="0" w:color="93C5FD"/>
              <w:right w:val="single" w:sz="6" w:space="0" w:color="93C5FD"/>
            </w:tcBorders>
          </w:tcPr>
          <w:p>
            <w:pPr>
              <w:spacing w:before="160" w:after="4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Investiga e diagnostica L1</w:t>
            </w:r>
          </w:p>
          <w:p>
            <w:pPr>
              <w:spacing w:before="40" w:after="40" w:line="138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2"/>
              </w:rPr>
            </w:r>
          </w:p>
          <w:p>
            <w:pPr>
              <w:spacing w:before="40" w:after="20"/>
              <w:jc w:val="center"/>
            </w:pPr>
            <w:r>
              <w:rPr>
                <w:rFonts w:ascii="Calibri" w:hAnsi="Calibri"/>
                <w:b/>
                <w:color w:val="92400E"/>
                <w:sz w:val="18"/>
              </w:rPr>
              <w:t>◆ Resolvido?</w:t>
            </w:r>
          </w:p>
          <w:p>
            <w:pPr>
              <w:spacing w:before="40" w:after="4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6B7280"/>
                <w:sz w:val="18"/>
              </w:rPr>
              <w:t>Sim → comunica resolução</w:t>
            </w:r>
          </w:p>
          <w:p>
            <w:pPr>
              <w:spacing w:before="40" w:after="4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6B7280"/>
                <w:sz w:val="18"/>
              </w:rPr>
              <w:t>Não ↓ escala para L2/L3</w:t>
            </w:r>
          </w:p>
        </w:tc>
        <w:tc>
          <w:tcPr>
            <w:tcW w:type="dxa" w:w="2721"/>
            <w:shd w:val="clear" w:color="auto" w:fill="EFF6FF"/>
            <w:tcBorders>
              <w:top w:val="single" w:sz="6" w:space="0" w:color="93C5FD"/>
              <w:bottom w:val="single" w:sz="6" w:space="0" w:color="93C5FD"/>
              <w:left w:val="single" w:sz="6" w:space="0" w:color="93C5FD"/>
              <w:right w:val="single" w:sz="6" w:space="0" w:color="93C5FD"/>
            </w:tcBorders>
          </w:tcPr>
          <w:p>
            <w:pPr>
              <w:spacing w:before="160" w:after="4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Comunica resolução</w:t>
            </w:r>
          </w:p>
          <w:p>
            <w:pPr>
              <w:spacing w:before="80" w:after="80" w:line="322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6B7280"/>
                <w:sz w:val="28"/>
              </w:rPr>
              <w:t>↓</w:t>
            </w:r>
          </w:p>
          <w:p>
            <w:pPr>
              <w:spacing w:before="40" w:after="4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Encerra incidente</w:t>
            </w:r>
          </w:p>
        </w:tc>
      </w:tr>
      <w:tr>
        <w:trPr>
          <w:trHeight w:val="1701" w:hRule="atLeast"/>
        </w:trPr>
        <w:tc>
          <w:tcPr>
            <w:tcW w:type="dxa" w:w="1417"/>
            <w:shd w:val="clear" w:color="auto" w:fill="C7D2FE"/>
          </w:tcPr>
          <w:p>
            <w:pPr>
              <w:spacing w:before="240" w:after="24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Equipa técnica</w:t>
              <w:br/>
              <w:t>L2/L3</w:t>
            </w:r>
          </w:p>
        </w:tc>
        <w:tc>
          <w:tcPr>
            <w:tcW w:type="dxa" w:w="2721"/>
            <w:shd w:val="clear" w:color="auto" w:fill="FFFFFF"/>
          </w:tcPr>
          <w:p/>
        </w:tc>
        <w:tc>
          <w:tcPr>
            <w:tcW w:type="dxa" w:w="2721"/>
            <w:shd w:val="clear" w:color="auto" w:fill="F0FDF4"/>
            <w:tcBorders>
              <w:top w:val="single" w:sz="6" w:space="0" w:color="86EFAC"/>
              <w:bottom w:val="single" w:sz="6" w:space="0" w:color="86EFAC"/>
              <w:left w:val="single" w:sz="6" w:space="0" w:color="86EFAC"/>
              <w:right w:val="single" w:sz="6" w:space="0" w:color="86EFAC"/>
            </w:tcBorders>
          </w:tcPr>
          <w:p>
            <w:pPr>
              <w:spacing w:before="200" w:after="40"/>
              <w:jc w:val="center"/>
            </w:pPr>
            <w:r>
              <w:rPr>
                <w:rFonts w:ascii="Calibri" w:hAnsi="Calibri"/>
                <w:b/>
                <w:color w:val="064E3B"/>
                <w:sz w:val="20"/>
              </w:rPr>
              <w:t>Investiga e diagnostica</w:t>
              <w:br/>
              <w:t>L2/L3</w:t>
            </w:r>
          </w:p>
          <w:p>
            <w:pPr>
              <w:spacing w:before="40" w:after="4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6B7280"/>
                <w:sz w:val="18"/>
              </w:rPr>
              <w:t>(logs, configurações,</w:t>
            </w:r>
          </w:p>
          <w:p>
            <w:pPr>
              <w:spacing w:before="40" w:after="4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6B7280"/>
                <w:sz w:val="18"/>
              </w:rPr>
              <w:t>fornecedores externos)</w:t>
            </w:r>
          </w:p>
        </w:tc>
        <w:tc>
          <w:tcPr>
            <w:tcW w:type="dxa" w:w="2721"/>
            <w:shd w:val="clear" w:color="auto" w:fill="F0FDF4"/>
            <w:tcBorders>
              <w:top w:val="single" w:sz="6" w:space="0" w:color="86EFAC"/>
              <w:bottom w:val="single" w:sz="6" w:space="0" w:color="86EFAC"/>
              <w:left w:val="single" w:sz="6" w:space="0" w:color="86EFAC"/>
              <w:right w:val="single" w:sz="6" w:space="0" w:color="86EFAC"/>
            </w:tcBorders>
          </w:tcPr>
          <w:p>
            <w:pPr>
              <w:spacing w:before="200" w:after="40"/>
              <w:jc w:val="center"/>
            </w:pPr>
            <w:r>
              <w:rPr>
                <w:rFonts w:ascii="Calibri" w:hAnsi="Calibri"/>
                <w:b/>
                <w:color w:val="064E3B"/>
                <w:sz w:val="20"/>
              </w:rPr>
              <w:t>Aplica resolução</w:t>
              <w:br/>
              <w:t>e verifica serviço</w:t>
            </w:r>
          </w:p>
          <w:p>
            <w:pPr>
              <w:spacing w:before="40" w:after="4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6B7280"/>
                <w:sz w:val="18"/>
              </w:rPr>
              <w:t>(documenta causa</w:t>
              <w:br/>
              <w:t>e solução)</w:t>
            </w:r>
          </w:p>
        </w:tc>
      </w:tr>
    </w:tbl>
    <w:p>
      <w:pPr>
        <w:spacing w:before="120" w:after="80" w:line="207" w:lineRule="exact"/>
        <w:jc w:val="center"/>
      </w:pPr>
      <w:r>
        <w:rPr>
          <w:rFonts w:ascii="Calibri" w:hAnsi="Calibri"/>
          <w:b w:val="0"/>
          <w:i w:val="0"/>
          <w:color w:val="6B7280"/>
          <w:sz w:val="18"/>
        </w:rPr>
        <w:t>Início → Reporte → Registo → Diagnóstico L1 → [Escalação L2/L3] → Resolução → Comunicação → Confirmação → Encerramento</w:t>
      </w:r>
    </w:p>
    <w:p>
      <w:pPr>
        <w:spacing w:before="40" w:after="0" w:line="207" w:lineRule="exact"/>
        <w:jc w:val="left"/>
      </w:pPr>
      <w:r>
        <w:rPr>
          <w:rFonts w:ascii="Calibri" w:hAnsi="Calibri"/>
          <w:b w:val="0"/>
          <w:i w:val="0"/>
          <w:color w:val="6B7280"/>
          <w:sz w:val="18"/>
        </w:rPr>
        <w:t>◆ = ponto de decisão  |  ↓ = fluxo para baixo  |  → = fluxo lateral</w:t>
      </w:r>
    </w:p>
    <w:p>
      <w:r>
        <w:br w:type="page"/>
      </w:r>
    </w:p>
    <w:p>
      <w:pPr>
        <w:spacing w:before="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3. Macro actividades e regras base</w:t>
      </w:r>
    </w:p>
    <w:p>
      <w:pPr>
        <w:spacing w:before="0" w:after="16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As macro actividades do processo e os respectivos responsáveis são apresentados na tabela seguinte.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567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22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984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22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Input</w:t>
            </w:r>
          </w:p>
        </w:tc>
        <w:tc>
          <w:tcPr>
            <w:tcW w:type="dxa" w:w="22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Output</w:t>
            </w:r>
          </w:p>
        </w:tc>
      </w:tr>
      <w:tr>
        <w:tc>
          <w:tcPr>
            <w:tcW w:type="dxa" w:w="567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Detecção e reporte</w:t>
            </w:r>
          </w:p>
        </w:tc>
        <w:tc>
          <w:tcPr>
            <w:tcW w:type="dxa" w:w="1984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Utilizador / Monitorização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Evento de serviço, alerta, chamada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Registo de incidente</w:t>
            </w:r>
          </w:p>
        </w:tc>
      </w:tr>
      <w:tr>
        <w:tc>
          <w:tcPr>
            <w:tcW w:type="dxa" w:w="567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2268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Registo e classificação</w:t>
            </w:r>
          </w:p>
        </w:tc>
        <w:tc>
          <w:tcPr>
            <w:tcW w:type="dxa" w:w="1984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desk</w:t>
            </w:r>
          </w:p>
        </w:tc>
        <w:tc>
          <w:tcPr>
            <w:tcW w:type="dxa" w:w="2268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Informação do utilizador / alerta</w:t>
            </w:r>
          </w:p>
        </w:tc>
        <w:tc>
          <w:tcPr>
            <w:tcW w:type="dxa" w:w="2268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Registo criado com prioridade</w:t>
            </w:r>
          </w:p>
        </w:tc>
      </w:tr>
      <w:tr>
        <w:tc>
          <w:tcPr>
            <w:tcW w:type="dxa" w:w="567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Diagnóstico L1</w:t>
            </w:r>
          </w:p>
        </w:tc>
        <w:tc>
          <w:tcPr>
            <w:tcW w:type="dxa" w:w="1984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desk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Registo de incidente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Resolução ou escalação</w:t>
            </w:r>
          </w:p>
        </w:tc>
      </w:tr>
      <w:tr>
        <w:tc>
          <w:tcPr>
            <w:tcW w:type="dxa" w:w="567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2268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Escalação</w:t>
            </w:r>
          </w:p>
        </w:tc>
        <w:tc>
          <w:tcPr>
            <w:tcW w:type="dxa" w:w="1984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desk</w:t>
            </w:r>
          </w:p>
        </w:tc>
        <w:tc>
          <w:tcPr>
            <w:tcW w:type="dxa" w:w="2268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Registo com diagnóstico inicial</w:t>
            </w:r>
          </w:p>
        </w:tc>
        <w:tc>
          <w:tcPr>
            <w:tcW w:type="dxa" w:w="2268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Incidente atribuído a L2/L3</w:t>
            </w:r>
          </w:p>
        </w:tc>
      </w:tr>
      <w:tr>
        <w:tc>
          <w:tcPr>
            <w:tcW w:type="dxa" w:w="567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Diagnóstico e resolução L2/L3</w:t>
            </w:r>
          </w:p>
        </w:tc>
        <w:tc>
          <w:tcPr>
            <w:tcW w:type="dxa" w:w="1984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Equipa técnica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Incidente escalado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Resolução aplicada</w:t>
            </w:r>
          </w:p>
        </w:tc>
      </w:tr>
      <w:tr>
        <w:tc>
          <w:tcPr>
            <w:tcW w:type="dxa" w:w="567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6</w:t>
            </w:r>
          </w:p>
        </w:tc>
        <w:tc>
          <w:tcPr>
            <w:tcW w:type="dxa" w:w="2268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Comunicação ao utilizador</w:t>
            </w:r>
          </w:p>
        </w:tc>
        <w:tc>
          <w:tcPr>
            <w:tcW w:type="dxa" w:w="1984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desk</w:t>
            </w:r>
          </w:p>
        </w:tc>
        <w:tc>
          <w:tcPr>
            <w:tcW w:type="dxa" w:w="2268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Resolução confirmada</w:t>
            </w:r>
          </w:p>
        </w:tc>
        <w:tc>
          <w:tcPr>
            <w:tcW w:type="dxa" w:w="2268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Utilizador notificado</w:t>
            </w:r>
          </w:p>
        </w:tc>
      </w:tr>
      <w:tr>
        <w:tc>
          <w:tcPr>
            <w:tcW w:type="dxa" w:w="567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7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Encerramento</w:t>
            </w:r>
          </w:p>
        </w:tc>
        <w:tc>
          <w:tcPr>
            <w:tcW w:type="dxa" w:w="1984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desk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Confirmação do utilizador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Registo encerrado</w:t>
            </w:r>
          </w:p>
        </w:tc>
      </w:tr>
      <w:tr>
        <w:tc>
          <w:tcPr>
            <w:tcW w:type="dxa" w:w="567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8</w:t>
            </w:r>
          </w:p>
        </w:tc>
        <w:tc>
          <w:tcPr>
            <w:tcW w:type="dxa" w:w="2268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Revisão e melhoria</w:t>
            </w:r>
          </w:p>
        </w:tc>
        <w:tc>
          <w:tcPr>
            <w:tcW w:type="dxa" w:w="1984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Incident manager</w:t>
            </w:r>
          </w:p>
        </w:tc>
        <w:tc>
          <w:tcPr>
            <w:tcW w:type="dxa" w:w="2268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Registos encerrados</w:t>
            </w:r>
          </w:p>
        </w:tc>
        <w:tc>
          <w:tcPr>
            <w:tcW w:type="dxa" w:w="2268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Relatório e acções de melhoria</w:t>
            </w:r>
          </w:p>
        </w:tc>
      </w:tr>
    </w:tbl>
    <w:p>
      <w:pPr>
        <w:spacing w:before="280" w:after="120" w:line="288" w:lineRule="exact"/>
        <w:jc w:val="left"/>
      </w:pPr>
      <w:r>
        <w:rPr>
          <w:rFonts w:ascii="Calibri" w:hAnsi="Calibri"/>
          <w:b/>
          <w:color w:val="1B3A5C"/>
          <w:sz w:val="24"/>
        </w:rPr>
        <w:t>Regras base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850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8787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Regra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Registar todas as ocorrências que tenham impacto na actividade dos serviços de TI na ferramenta ITSM.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Incentivar os utilizadores a contactar primeiro o service desk através dos canais formais definidos.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Documentar detalhadamente todos os sintomas do incidente, bem como todo o histórico de diagnóstico e resolução.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Informar periodicamente o utilizador do estado de evolução do incidente e qual a data estimada de resolução.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5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Em caso de incidente crítico (prioridade máxima), notificar imediatamente a chefia e seguir o procedimento de major incident.</w:t>
            </w:r>
          </w:p>
        </w:tc>
      </w:tr>
    </w:tbl>
    <w:p>
      <w:r>
        <w:br w:type="page"/>
      </w:r>
    </w:p>
    <w:p>
      <w:pPr>
        <w:spacing w:before="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4. Responsabilidades</w:t>
      </w:r>
    </w:p>
    <w:p>
      <w:pPr>
        <w:spacing w:before="0" w:after="20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Os papéis seguintes têm responsabilidades definidas no processo de gestão de incidentes.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Incident manager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Manter e optimizar o processo de gestão de incidentes.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Acompanhar as actividades do service desk e garantir o cumprimento dos SLAs.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Rever periodicamente os incidentes ocorridos para identificar padrões e tendências.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Produzir relatórios da actividade do processo e apresentar resultados à gestão.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5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Coordenar a resposta a major incidents e liderar as reuniões de revisão pós-incidente.</w:t>
            </w:r>
          </w:p>
        </w:tc>
      </w:tr>
    </w:tbl>
    <w:p>
      <w:pPr>
        <w:spacing w:before="160" w:after="0" w:line="253" w:lineRule="exact"/>
        <w:jc w:val="both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Service desk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Registar todos os incidentes recebidos, actuando como ponto único de contacto (SPOC).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Categorizar e priorizar todos os incidentes, oferecendo suporte inicial aos utilizadores.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Escalar incidentes para as equipas técnicas quando a resolução em L1 não é possível.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Monitorizar o progresso da resolução e comunicar actualizações periódicas ao utilizador.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5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Confirmar a resolução com o utilizador e encerrar o registo com a documentação completa.</w:t>
            </w:r>
          </w:p>
        </w:tc>
      </w:tr>
    </w:tbl>
    <w:p>
      <w:pPr>
        <w:spacing w:before="160" w:after="0" w:line="253" w:lineRule="exact"/>
        <w:jc w:val="both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Equipa técnica L2/L3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Investigar e diagnosticar incidentes escalados pelo service desk.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Implementar a resolução e documentar detalhadamente as acções tomadas.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Avaliar a necessidade de criar um registo de problema para incidentes recorrentes.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Comunicar ao service desk a resolução aplicada e o tempo estimado quando aplicável.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5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Contribuir para a base de conhecimento com soluções e procedimentos documentados.</w:t>
            </w:r>
          </w:p>
        </w:tc>
      </w:tr>
    </w:tbl>
    <w:p>
      <w:pPr>
        <w:spacing w:before="160" w:after="0" w:line="253" w:lineRule="exact"/>
        <w:jc w:val="both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Service owner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que os SLAs são cumpridos para os serviços sob a sua responsabilidade.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Participar na análise de incidentes críticos que afectem os seus serviços.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Validar a adequação das resoluções aplicadas e autorizar mudanças de emergência quando necessário.</w:t>
            </w:r>
          </w:p>
        </w:tc>
      </w:tr>
    </w:tbl>
    <w:p>
      <w:pPr>
        <w:spacing w:before="160" w:after="0" w:line="253" w:lineRule="exact"/>
        <w:jc w:val="both"/>
      </w:pPr>
    </w:p>
    <w:p>
      <w:r>
        <w:br w:type="page"/>
      </w:r>
    </w:p>
    <w:p>
      <w:pPr>
        <w:spacing w:before="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5. Matriz RACI</w:t>
      </w:r>
    </w:p>
    <w:p>
      <w:pPr>
        <w:spacing w:before="0" w:after="20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A matriz RACI define o nível de envolvimento de cada papel nas actividades do processo: R (Responsible) - executa a actividade; A (Accountable) - responsável final; C (Consulted) - consultado antes ou durante; I (Informed) - informado do resultado.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25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417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Utilizador</w:t>
            </w:r>
          </w:p>
        </w:tc>
        <w:tc>
          <w:tcPr>
            <w:tcW w:type="dxa" w:w="1417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Service desk</w:t>
            </w:r>
          </w:p>
        </w:tc>
        <w:tc>
          <w:tcPr>
            <w:tcW w:type="dxa" w:w="1587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Equipa técnica</w:t>
            </w:r>
          </w:p>
        </w:tc>
        <w:tc>
          <w:tcPr>
            <w:tcW w:type="dxa" w:w="170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Incident manager</w:t>
            </w:r>
          </w:p>
        </w:tc>
        <w:tc>
          <w:tcPr>
            <w:tcW w:type="dxa" w:w="153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Service owner</w:t>
            </w:r>
          </w:p>
        </w:tc>
      </w:tr>
      <w:tr>
        <w:tc>
          <w:tcPr>
            <w:tcW w:type="dxa" w:w="2551"/>
            <w:shd w:val="clear" w:color="auto" w:fill="FFFFFF"/>
          </w:tcPr>
          <w:p>
            <w:pPr>
              <w:spacing w:before="80" w:after="80"/>
              <w:jc w:val="left"/>
            </w:pPr>
            <w:r>
              <w:rPr>
                <w:rFonts w:ascii="Calibri" w:hAnsi="Calibri"/>
                <w:color w:val="000000"/>
                <w:sz w:val="20"/>
              </w:rPr>
              <w:t>Detecção e reporte</w:t>
            </w:r>
          </w:p>
        </w:tc>
        <w:tc>
          <w:tcPr>
            <w:tcW w:type="dxa" w:w="1417"/>
            <w:shd w:val="clear" w:color="auto" w:fill="DBEAFE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R</w:t>
            </w:r>
          </w:p>
        </w:tc>
        <w:tc>
          <w:tcPr>
            <w:tcW w:type="dxa" w:w="1417"/>
            <w:shd w:val="clear" w:color="auto" w:fill="F3F4F6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I</w:t>
            </w:r>
          </w:p>
        </w:tc>
        <w:tc>
          <w:tcPr>
            <w:tcW w:type="dxa" w:w="1587"/>
            <w:shd w:val="clear" w:color="auto" w:fill="FFFFFF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-</w:t>
            </w:r>
          </w:p>
        </w:tc>
        <w:tc>
          <w:tcPr>
            <w:tcW w:type="dxa" w:w="1701"/>
            <w:shd w:val="clear" w:color="auto" w:fill="F3F4F6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I</w:t>
            </w:r>
          </w:p>
        </w:tc>
        <w:tc>
          <w:tcPr>
            <w:tcW w:type="dxa" w:w="1531"/>
            <w:shd w:val="clear" w:color="auto" w:fill="FFFFFF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2551"/>
            <w:shd w:val="clear" w:color="auto" w:fill="F3F4F6"/>
          </w:tcPr>
          <w:p>
            <w:pPr>
              <w:spacing w:before="80" w:after="80"/>
              <w:jc w:val="left"/>
            </w:pPr>
            <w:r>
              <w:rPr>
                <w:rFonts w:ascii="Calibri" w:hAnsi="Calibri"/>
                <w:color w:val="000000"/>
                <w:sz w:val="20"/>
              </w:rPr>
              <w:t>Registo e classificação</w:t>
            </w:r>
          </w:p>
        </w:tc>
        <w:tc>
          <w:tcPr>
            <w:tcW w:type="dxa" w:w="1417"/>
            <w:shd w:val="clear" w:color="auto" w:fill="F3F4F6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I</w:t>
            </w:r>
          </w:p>
        </w:tc>
        <w:tc>
          <w:tcPr>
            <w:tcW w:type="dxa" w:w="1417"/>
            <w:shd w:val="clear" w:color="auto" w:fill="DBEAFE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R</w:t>
            </w:r>
          </w:p>
        </w:tc>
        <w:tc>
          <w:tcPr>
            <w:tcW w:type="dxa" w:w="1587"/>
            <w:shd w:val="clear" w:color="auto" w:fill="FFFFFF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-</w:t>
            </w:r>
          </w:p>
        </w:tc>
        <w:tc>
          <w:tcPr>
            <w:tcW w:type="dxa" w:w="1701"/>
            <w:shd w:val="clear" w:color="auto" w:fill="FEE2E2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A</w:t>
            </w:r>
          </w:p>
        </w:tc>
        <w:tc>
          <w:tcPr>
            <w:tcW w:type="dxa" w:w="1531"/>
            <w:shd w:val="clear" w:color="auto" w:fill="FFFFFF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2551"/>
            <w:shd w:val="clear" w:color="auto" w:fill="FFFFFF"/>
          </w:tcPr>
          <w:p>
            <w:pPr>
              <w:spacing w:before="80" w:after="80"/>
              <w:jc w:val="left"/>
            </w:pPr>
            <w:r>
              <w:rPr>
                <w:rFonts w:ascii="Calibri" w:hAnsi="Calibri"/>
                <w:color w:val="000000"/>
                <w:sz w:val="20"/>
              </w:rPr>
              <w:t>Investigação L1</w:t>
            </w:r>
          </w:p>
        </w:tc>
        <w:tc>
          <w:tcPr>
            <w:tcW w:type="dxa" w:w="1417"/>
            <w:shd w:val="clear" w:color="auto" w:fill="FFFFFF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-</w:t>
            </w:r>
          </w:p>
        </w:tc>
        <w:tc>
          <w:tcPr>
            <w:tcW w:type="dxa" w:w="1417"/>
            <w:shd w:val="clear" w:color="auto" w:fill="DBEAFE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R</w:t>
            </w:r>
          </w:p>
        </w:tc>
        <w:tc>
          <w:tcPr>
            <w:tcW w:type="dxa" w:w="1587"/>
            <w:shd w:val="clear" w:color="auto" w:fill="FEF9C3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C</w:t>
            </w:r>
          </w:p>
        </w:tc>
        <w:tc>
          <w:tcPr>
            <w:tcW w:type="dxa" w:w="1701"/>
            <w:shd w:val="clear" w:color="auto" w:fill="FEE2E2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A</w:t>
            </w:r>
          </w:p>
        </w:tc>
        <w:tc>
          <w:tcPr>
            <w:tcW w:type="dxa" w:w="1531"/>
            <w:shd w:val="clear" w:color="auto" w:fill="FFFFFF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2551"/>
            <w:shd w:val="clear" w:color="auto" w:fill="F3F4F6"/>
          </w:tcPr>
          <w:p>
            <w:pPr>
              <w:spacing w:before="80" w:after="80"/>
              <w:jc w:val="left"/>
            </w:pPr>
            <w:r>
              <w:rPr>
                <w:rFonts w:ascii="Calibri" w:hAnsi="Calibri"/>
                <w:color w:val="000000"/>
                <w:sz w:val="20"/>
              </w:rPr>
              <w:t>Escalação funcional</w:t>
            </w:r>
          </w:p>
        </w:tc>
        <w:tc>
          <w:tcPr>
            <w:tcW w:type="dxa" w:w="1417"/>
            <w:shd w:val="clear" w:color="auto" w:fill="FFFFFF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-</w:t>
            </w:r>
          </w:p>
        </w:tc>
        <w:tc>
          <w:tcPr>
            <w:tcW w:type="dxa" w:w="1417"/>
            <w:shd w:val="clear" w:color="auto" w:fill="DBEAFE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R</w:t>
            </w:r>
          </w:p>
        </w:tc>
        <w:tc>
          <w:tcPr>
            <w:tcW w:type="dxa" w:w="1587"/>
            <w:shd w:val="clear" w:color="auto" w:fill="F3F4F6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I</w:t>
            </w:r>
          </w:p>
        </w:tc>
        <w:tc>
          <w:tcPr>
            <w:tcW w:type="dxa" w:w="1701"/>
            <w:shd w:val="clear" w:color="auto" w:fill="FEE2E2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A</w:t>
            </w:r>
          </w:p>
        </w:tc>
        <w:tc>
          <w:tcPr>
            <w:tcW w:type="dxa" w:w="1531"/>
            <w:shd w:val="clear" w:color="auto" w:fill="F3F4F6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2551"/>
            <w:shd w:val="clear" w:color="auto" w:fill="FFFFFF"/>
          </w:tcPr>
          <w:p>
            <w:pPr>
              <w:spacing w:before="80" w:after="80"/>
              <w:jc w:val="left"/>
            </w:pPr>
            <w:r>
              <w:rPr>
                <w:rFonts w:ascii="Calibri" w:hAnsi="Calibri"/>
                <w:color w:val="000000"/>
                <w:sz w:val="20"/>
              </w:rPr>
              <w:t>Investigação L2/L3</w:t>
            </w:r>
          </w:p>
        </w:tc>
        <w:tc>
          <w:tcPr>
            <w:tcW w:type="dxa" w:w="1417"/>
            <w:shd w:val="clear" w:color="auto" w:fill="FFFFFF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-</w:t>
            </w:r>
          </w:p>
        </w:tc>
        <w:tc>
          <w:tcPr>
            <w:tcW w:type="dxa" w:w="1417"/>
            <w:shd w:val="clear" w:color="auto" w:fill="FEF9C3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C</w:t>
            </w:r>
          </w:p>
        </w:tc>
        <w:tc>
          <w:tcPr>
            <w:tcW w:type="dxa" w:w="1587"/>
            <w:shd w:val="clear" w:color="auto" w:fill="DBEAFE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R</w:t>
            </w:r>
          </w:p>
        </w:tc>
        <w:tc>
          <w:tcPr>
            <w:tcW w:type="dxa" w:w="1701"/>
            <w:shd w:val="clear" w:color="auto" w:fill="FEE2E2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A</w:t>
            </w:r>
          </w:p>
        </w:tc>
        <w:tc>
          <w:tcPr>
            <w:tcW w:type="dxa" w:w="1531"/>
            <w:shd w:val="clear" w:color="auto" w:fill="F3F4F6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2551"/>
            <w:shd w:val="clear" w:color="auto" w:fill="F3F4F6"/>
          </w:tcPr>
          <w:p>
            <w:pPr>
              <w:spacing w:before="80" w:after="80"/>
              <w:jc w:val="left"/>
            </w:pPr>
            <w:r>
              <w:rPr>
                <w:rFonts w:ascii="Calibri" w:hAnsi="Calibri"/>
                <w:color w:val="000000"/>
                <w:sz w:val="20"/>
              </w:rPr>
              <w:t>Resolução e recuperação</w:t>
            </w:r>
          </w:p>
        </w:tc>
        <w:tc>
          <w:tcPr>
            <w:tcW w:type="dxa" w:w="1417"/>
            <w:shd w:val="clear" w:color="auto" w:fill="FFFFFF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-</w:t>
            </w:r>
          </w:p>
        </w:tc>
        <w:tc>
          <w:tcPr>
            <w:tcW w:type="dxa" w:w="1417"/>
            <w:shd w:val="clear" w:color="auto" w:fill="FEF9C3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C</w:t>
            </w:r>
          </w:p>
        </w:tc>
        <w:tc>
          <w:tcPr>
            <w:tcW w:type="dxa" w:w="1587"/>
            <w:shd w:val="clear" w:color="auto" w:fill="DBEAFE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R</w:t>
            </w:r>
          </w:p>
        </w:tc>
        <w:tc>
          <w:tcPr>
            <w:tcW w:type="dxa" w:w="1701"/>
            <w:shd w:val="clear" w:color="auto" w:fill="FEE2E2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A</w:t>
            </w:r>
          </w:p>
        </w:tc>
        <w:tc>
          <w:tcPr>
            <w:tcW w:type="dxa" w:w="1531"/>
            <w:shd w:val="clear" w:color="auto" w:fill="F3F4F6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2551"/>
            <w:shd w:val="clear" w:color="auto" w:fill="FFFFFF"/>
          </w:tcPr>
          <w:p>
            <w:pPr>
              <w:spacing w:before="80" w:after="80"/>
              <w:jc w:val="left"/>
            </w:pPr>
            <w:r>
              <w:rPr>
                <w:rFonts w:ascii="Calibri" w:hAnsi="Calibri"/>
                <w:color w:val="000000"/>
                <w:sz w:val="20"/>
              </w:rPr>
              <w:t>Comunicação</w:t>
            </w:r>
          </w:p>
        </w:tc>
        <w:tc>
          <w:tcPr>
            <w:tcW w:type="dxa" w:w="1417"/>
            <w:shd w:val="clear" w:color="auto" w:fill="F3F4F6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I</w:t>
            </w:r>
          </w:p>
        </w:tc>
        <w:tc>
          <w:tcPr>
            <w:tcW w:type="dxa" w:w="1417"/>
            <w:shd w:val="clear" w:color="auto" w:fill="DBEAFE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R</w:t>
            </w:r>
          </w:p>
        </w:tc>
        <w:tc>
          <w:tcPr>
            <w:tcW w:type="dxa" w:w="1587"/>
            <w:shd w:val="clear" w:color="auto" w:fill="FFFFFF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-</w:t>
            </w:r>
          </w:p>
        </w:tc>
        <w:tc>
          <w:tcPr>
            <w:tcW w:type="dxa" w:w="1701"/>
            <w:shd w:val="clear" w:color="auto" w:fill="FEE2E2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A</w:t>
            </w:r>
          </w:p>
        </w:tc>
        <w:tc>
          <w:tcPr>
            <w:tcW w:type="dxa" w:w="1531"/>
            <w:shd w:val="clear" w:color="auto" w:fill="F3F4F6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2551"/>
            <w:shd w:val="clear" w:color="auto" w:fill="F3F4F6"/>
          </w:tcPr>
          <w:p>
            <w:pPr>
              <w:spacing w:before="80" w:after="80"/>
              <w:jc w:val="left"/>
            </w:pPr>
            <w:r>
              <w:rPr>
                <w:rFonts w:ascii="Calibri" w:hAnsi="Calibri"/>
                <w:color w:val="000000"/>
                <w:sz w:val="20"/>
              </w:rPr>
              <w:t>Encerramento</w:t>
            </w:r>
          </w:p>
        </w:tc>
        <w:tc>
          <w:tcPr>
            <w:tcW w:type="dxa" w:w="1417"/>
            <w:shd w:val="clear" w:color="auto" w:fill="FEF9C3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C</w:t>
            </w:r>
          </w:p>
        </w:tc>
        <w:tc>
          <w:tcPr>
            <w:tcW w:type="dxa" w:w="1417"/>
            <w:shd w:val="clear" w:color="auto" w:fill="DBEAFE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R</w:t>
            </w:r>
          </w:p>
        </w:tc>
        <w:tc>
          <w:tcPr>
            <w:tcW w:type="dxa" w:w="1587"/>
            <w:shd w:val="clear" w:color="auto" w:fill="FFFFFF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-</w:t>
            </w:r>
          </w:p>
        </w:tc>
        <w:tc>
          <w:tcPr>
            <w:tcW w:type="dxa" w:w="1701"/>
            <w:shd w:val="clear" w:color="auto" w:fill="FEE2E2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A</w:t>
            </w:r>
          </w:p>
        </w:tc>
        <w:tc>
          <w:tcPr>
            <w:tcW w:type="dxa" w:w="1531"/>
            <w:shd w:val="clear" w:color="auto" w:fill="F3F4F6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000000"/>
                <w:sz w:val="20"/>
              </w:rPr>
              <w:t>I</w:t>
            </w:r>
          </w:p>
        </w:tc>
      </w:tr>
    </w:tbl>
    <w:p>
      <w:pPr>
        <w:spacing w:before="120" w:after="0" w:line="207" w:lineRule="exact"/>
        <w:jc w:val="left"/>
      </w:pPr>
      <w:r>
        <w:rPr>
          <w:rFonts w:ascii="Calibri" w:hAnsi="Calibri"/>
          <w:b w:val="0"/>
          <w:i w:val="0"/>
          <w:color w:val="6B7280"/>
          <w:sz w:val="18"/>
        </w:rPr>
        <w:t>Legenda: R = Responsible (executa)  |  A = Accountable (responsável)  |  C = Consulted (consultado)  |  I = Informed (informado)</w:t>
      </w:r>
    </w:p>
    <w:p>
      <w:r>
        <w:br w:type="page"/>
      </w:r>
    </w:p>
    <w:p>
      <w:pPr>
        <w:spacing w:before="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6. Métricas</w:t>
      </w:r>
    </w:p>
    <w:p>
      <w:pPr>
        <w:spacing w:before="0" w:after="20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As métricas seguintes permitem acompanhar o desempenho do processo e identificar oportunidades de melhoria. Os targets sugeridos são referências iniciais e devem ser ajustados ao contexto de cada organização.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154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Métrica</w:t>
            </w:r>
          </w:p>
        </w:tc>
        <w:tc>
          <w:tcPr>
            <w:tcW w:type="dxa" w:w="28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  <w:tc>
          <w:tcPr>
            <w:tcW w:type="dxa" w:w="1984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Target sugerido</w:t>
            </w:r>
          </w:p>
        </w:tc>
        <w:tc>
          <w:tcPr>
            <w:tcW w:type="dxa" w:w="266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Fórmula</w:t>
            </w:r>
          </w:p>
        </w:tc>
      </w:tr>
      <w:tr>
        <w:tc>
          <w:tcPr>
            <w:tcW w:type="dxa" w:w="2154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MTTR</w:t>
            </w:r>
          </w:p>
        </w:tc>
        <w:tc>
          <w:tcPr>
            <w:tcW w:type="dxa" w:w="28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médio desde o reporte até à resolução</w:t>
            </w:r>
          </w:p>
        </w:tc>
        <w:tc>
          <w:tcPr>
            <w:tcW w:type="dxa" w:w="1984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 4h (P1), &lt; 8h (P2), &lt; 24h (P3)</w:t>
            </w:r>
          </w:p>
        </w:tc>
        <w:tc>
          <w:tcPr>
            <w:tcW w:type="dxa" w:w="266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Soma tempos resolução / N. incidentes</w:t>
            </w:r>
          </w:p>
        </w:tc>
      </w:tr>
      <w:tr>
        <w:tc>
          <w:tcPr>
            <w:tcW w:type="dxa" w:w="2154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Taxa de resolução em L1</w:t>
            </w:r>
          </w:p>
        </w:tc>
        <w:tc>
          <w:tcPr>
            <w:tcW w:type="dxa" w:w="28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Percentagem de incidentes resolvidos sem escalação</w:t>
            </w:r>
          </w:p>
        </w:tc>
        <w:tc>
          <w:tcPr>
            <w:tcW w:type="dxa" w:w="1984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70%</w:t>
            </w:r>
          </w:p>
        </w:tc>
        <w:tc>
          <w:tcPr>
            <w:tcW w:type="dxa" w:w="266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Incidentes L1 / Total x 100</w:t>
            </w:r>
          </w:p>
        </w:tc>
      </w:tr>
      <w:tr>
        <w:tc>
          <w:tcPr>
            <w:tcW w:type="dxa" w:w="2154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Cumprimento de SLA</w:t>
            </w:r>
          </w:p>
        </w:tc>
        <w:tc>
          <w:tcPr>
            <w:tcW w:type="dxa" w:w="28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Percentagem de incidentes resolvidos dentro do SLA</w:t>
            </w:r>
          </w:p>
        </w:tc>
        <w:tc>
          <w:tcPr>
            <w:tcW w:type="dxa" w:w="1984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95%</w:t>
            </w:r>
          </w:p>
        </w:tc>
        <w:tc>
          <w:tcPr>
            <w:tcW w:type="dxa" w:w="266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Incidentes dentro SLA / Total x 100</w:t>
            </w:r>
          </w:p>
        </w:tc>
      </w:tr>
      <w:tr>
        <w:tc>
          <w:tcPr>
            <w:tcW w:type="dxa" w:w="2154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Taxa de reaberturas</w:t>
            </w:r>
          </w:p>
        </w:tc>
        <w:tc>
          <w:tcPr>
            <w:tcW w:type="dxa" w:w="28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Percentagem de incidentes reabertos após encerramento</w:t>
            </w:r>
          </w:p>
        </w:tc>
        <w:tc>
          <w:tcPr>
            <w:tcW w:type="dxa" w:w="1984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 5%</w:t>
            </w:r>
          </w:p>
        </w:tc>
        <w:tc>
          <w:tcPr>
            <w:tcW w:type="dxa" w:w="266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Reabertos / Total encerrados x 100</w:t>
            </w:r>
          </w:p>
        </w:tc>
      </w:tr>
      <w:tr>
        <w:tc>
          <w:tcPr>
            <w:tcW w:type="dxa" w:w="2154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Incidentes por prioridade</w:t>
            </w:r>
          </w:p>
        </w:tc>
        <w:tc>
          <w:tcPr>
            <w:tcW w:type="dxa" w:w="28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Distribuição por P1/P2/P3/P4</w:t>
            </w:r>
          </w:p>
        </w:tc>
        <w:tc>
          <w:tcPr>
            <w:tcW w:type="dxa" w:w="1984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P1 &lt; 5% do total</w:t>
            </w:r>
          </w:p>
        </w:tc>
        <w:tc>
          <w:tcPr>
            <w:tcW w:type="dxa" w:w="266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Incidentes Px / Total x 100</w:t>
            </w:r>
          </w:p>
        </w:tc>
      </w:tr>
      <w:tr>
        <w:tc>
          <w:tcPr>
            <w:tcW w:type="dxa" w:w="2154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Satisfação do utilizador</w:t>
            </w:r>
          </w:p>
        </w:tc>
        <w:tc>
          <w:tcPr>
            <w:tcW w:type="dxa" w:w="28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Classificação média após resolução</w:t>
            </w:r>
          </w:p>
        </w:tc>
        <w:tc>
          <w:tcPr>
            <w:tcW w:type="dxa" w:w="1984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4.0 / 5.0</w:t>
            </w:r>
          </w:p>
        </w:tc>
        <w:tc>
          <w:tcPr>
            <w:tcW w:type="dxa" w:w="266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Soma classificações / N. respostas</w:t>
            </w:r>
          </w:p>
        </w:tc>
      </w:tr>
      <w:tr>
        <w:tc>
          <w:tcPr>
            <w:tcW w:type="dxa" w:w="2154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Antiguidade média</w:t>
            </w:r>
          </w:p>
        </w:tc>
        <w:tc>
          <w:tcPr>
            <w:tcW w:type="dxa" w:w="28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médio de incidentes abertos</w:t>
            </w:r>
          </w:p>
        </w:tc>
        <w:tc>
          <w:tcPr>
            <w:tcW w:type="dxa" w:w="1984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 3 dias</w:t>
            </w:r>
          </w:p>
        </w:tc>
        <w:tc>
          <w:tcPr>
            <w:tcW w:type="dxa" w:w="266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Soma dias abertos / N. abertos</w:t>
            </w:r>
          </w:p>
        </w:tc>
      </w:tr>
      <w:tr>
        <w:tc>
          <w:tcPr>
            <w:tcW w:type="dxa" w:w="2154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Resolução remota</w:t>
            </w:r>
          </w:p>
        </w:tc>
        <w:tc>
          <w:tcPr>
            <w:tcW w:type="dxa" w:w="28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Percentagem resolvidos sem deslocação</w:t>
            </w:r>
          </w:p>
        </w:tc>
        <w:tc>
          <w:tcPr>
            <w:tcW w:type="dxa" w:w="1984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85%</w:t>
            </w:r>
          </w:p>
        </w:tc>
        <w:tc>
          <w:tcPr>
            <w:tcW w:type="dxa" w:w="266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Remotos / Total x 100</w:t>
            </w:r>
          </w:p>
        </w:tc>
      </w:tr>
    </w:tbl>
    <w:p>
      <w:r>
        <w:br w:type="page"/>
      </w:r>
    </w:p>
    <w:p>
      <w:pPr>
        <w:spacing w:before="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7. Descrição detalhada das actividades</w:t>
      </w:r>
    </w:p>
    <w:p>
      <w:pPr>
        <w:spacing w:before="0" w:after="16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Esta secção detalha cada actividade do processo, incluindo o responsável, os passos de execução e o critério de saída. O formato tabular facilita a leitura e o uso como referência durante a execução do processo.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7.1 Detecção e reporte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Utilizador / Sistema de monitorização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 detecção de um incidente pode ocorrer de duas formas: reactiva, quando o utilizador reporta uma interrupção ou degradação de serviço através dos canais disponíveis; ou proactiva, quando um sistema de monitorização gera um alerta automático que é correlacionado e identificado como incidente. A velocidade de detecção é determinante para minimizar o impacto no negócio.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O utilizador identifica uma interrupção ou degradação de serviço.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O utilizador contacta o service desk pelo canal definido (portal self-service, telefone ou email).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Em alternativa, o sistema de monitorização gera um alerta que é recebido pelo service desk.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O service desk confirma a natureza do problema e inicia o registo.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Incidente identificado e pronto para registo na ferramenta ITSM.</w:t>
            </w:r>
          </w:p>
        </w:tc>
      </w:tr>
    </w:tbl>
    <w:p>
      <w:pPr>
        <w:spacing w:before="200" w:after="0" w:line="253" w:lineRule="exact"/>
        <w:jc w:val="both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7.2 Registo e classificação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Service desk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 registo é a base de toda a gestão do incidente. Um registo incompleto compromete a investigação, a comunicação e a análise posterior. A classificação correcta determina o SLA aplicável e a prioridade de resposta. A prioridade resulta da combinação entre o impacto (quantas pessoas ou processos são afectados) e a urgência (quão rapidamente a resolução é necessária).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Criar o registo na ferramenta ITSM com os dados do utilizador e do serviço afectado.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Registar a descrição detalhada dos sintomas tal como reportados pelo utilizador.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Atribuir a categoria de serviço (ex.: rede, email, aplicação de negócio, hardware).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o impacto e a urgência para determinar a prioridade (P1 a P4).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Notificar o utilizador da abertura do registo e do SLA associado.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Registo criado com categoria, impacto, urgência e prioridade correctamente atribuídos.</w:t>
            </w:r>
          </w:p>
        </w:tc>
      </w:tr>
    </w:tbl>
    <w:p>
      <w:pPr>
        <w:spacing w:before="200" w:after="0" w:line="253" w:lineRule="exact"/>
        <w:jc w:val="both"/>
      </w:pP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7.3 Diagnóstico L1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Service desk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 diagnóstico de primeiro nível visa resolver o incidente no menor tempo possível, utilizando a base de conhecimento, procedimentos documentados e workarounds disponíveis. O objectivo é maximizar a taxa de resolução em L1, reduzindo a carga sobre as equipas técnicas especializadas e melhorando a experiência do utilizador.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Consultar a base de conhecimento e os incidentes similares anteriores.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Tentar aplicar o procedimento de resolução ou workaround documentado.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diagnóstico básico remoto (verificação de conectividade, reinício de serviço, validação de permissões).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todas as acções de diagnóstico realizadas no registo do incidente.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Decidir se o incidente pode ser resolvido em L1 ou se requer escalação.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Incidente resolvido em L1, ou decisão de escalação documentada com toda a informação de diagnóstico.</w:t>
            </w:r>
          </w:p>
        </w:tc>
      </w:tr>
    </w:tbl>
    <w:p>
      <w:pPr>
        <w:spacing w:before="200" w:after="0" w:line="253" w:lineRule="exact"/>
        <w:jc w:val="both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7.4 Escalação funcional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Service desk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Quando o service desk não consegue resolver o incidente dentro do prazo previsto ou com o conhecimento disponível, o incidente é escalado para uma equipa técnica de nível superior. A escalação deve ser feita com toda a informação recolhida durante o diagnóstico inicial, evitando que o utilizador tenha de repetir a descrição do problema.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Verificar que toda a informação de diagnóstico está registada no ticket.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a equipa técnica correcta com base na categoria do incidente.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Atribuir o incidente à fila de trabalho da equipa técnica seleccionada.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Notificar o utilizador da escalação e do novo tempo estimado de resolução.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Registar a hora e o motivo da escalação no histórico do incidente.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Incidente atribuído à equipa técnica correcta com informação de diagnóstico completa.</w:t>
            </w:r>
          </w:p>
        </w:tc>
      </w:tr>
    </w:tbl>
    <w:p>
      <w:pPr>
        <w:spacing w:before="200" w:after="0" w:line="253" w:lineRule="exact"/>
        <w:jc w:val="both"/>
      </w:pP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7.5 Diagnóstico e resolução L2/L3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Equipa técnica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 equipa técnica de nível 2 ou 3 possui conhecimento especializado para investigar e resolver incidentes complexos. O diagnóstico aprofundado pode envolver análise de logs, testes em ambiente produtivo controlado e coordenação com fornecedores externos. Toda a investigação deve ser documentada de forma detalhada.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Analisar o histórico do incidente e a informação de diagnóstico recolhida em L1.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Realizar diagnóstico técnico aprofundado (análise de logs, testes de conectividade, verificação de configurações).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a causa imediata do incidente e avaliar o impacto total.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Implementar a resolução técnica e verificar o restabelecimento do serviço.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a necessidade de abertura de registo de problema para investigação de causa-raiz.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a causa, a solução aplicada e as acções preventivas recomendadas.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Serviço restaurado e resolução documentada no registo do incidente.</w:t>
            </w:r>
          </w:p>
        </w:tc>
      </w:tr>
    </w:tbl>
    <w:p>
      <w:pPr>
        <w:spacing w:before="200" w:after="0" w:line="253" w:lineRule="exact"/>
        <w:jc w:val="both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7.6 Comunicação e verificação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Service desk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Após a resolução técnica, o service desk contacta o utilizador para confirmar que o serviço está operacional e que as suas necessidades de negócio estão novamente satisfeitas. Esta etapa garante a qualidade da resolução e permite recolher feedback sobre a experiência do utilizador.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Contactar o utilizador pelo canal preferencial para informar da resolução.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Descrever de forma clara e não técnica a causa do incidente e a solução aplicada.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Solicitar ao utilizador que verifique o funcionamento do serviço.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Recolher classificação de satisfação quando aplicável.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o prazo para confirmação automática caso não haja resposta.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Utilizador informado da resolução e serviço confirmado como operacional.</w:t>
            </w:r>
          </w:p>
        </w:tc>
      </w:tr>
    </w:tbl>
    <w:p>
      <w:pPr>
        <w:spacing w:before="200" w:after="0" w:line="253" w:lineRule="exact"/>
        <w:jc w:val="both"/>
      </w:pP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7.7 Encerramento do registo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Service desk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 encerramento formaliza a conclusão do processo para aquele incidente. Para além de fechar o ticket, esta actividade inclui a actualização da documentação, a contribuição para a base de conhecimento e a verificação do cumprimento do SLA. Registos de qualidade no momento do encerramento são essenciais para análise futura.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Confirmar que o utilizador validou a resolução.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Actualizar o registo com a causa raiz identificada e a solução aplicada.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Contribuir para a base de conhecimento se a solução não estiver documentada.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Registar o tempo de resolução e verificar o cumprimento do SLA.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Encerrar o registo com o estado 'Encerrado' e a data e hora de confirmação.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Registo encerrado com toda a documentação completa e base de conhecimento actualizada.</w:t>
            </w:r>
          </w:p>
        </w:tc>
      </w:tr>
    </w:tbl>
    <w:p>
      <w:pPr>
        <w:spacing w:before="200" w:after="0" w:line="253" w:lineRule="exact"/>
        <w:jc w:val="both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7.8 Revisão e melhoria contínua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Incident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 revisão periódica dos incidentes permite identificar padrões, tendências e oportunidades de melhoria no processo. O incident manager analisa os dados de desempenho, identifica incidentes recorrentes que justifiquem abertura de problemas, e propõe acções de melhoria ao processo.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Analisar periodicamente os relatórios de incidentes (semanal, mensal).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incidentes recorrentes e propor a abertura de registos de problema.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o cumprimento dos SLAs e identificar causas de incumprimento.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Rever e actualizar os procedimentos do processo com base nas lições aprendidas.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Apresentar resultados e propostas de melhoria à gestão de serviço.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Relatório de desempenho produzido e acções de melhoria documentadas.</w:t>
            </w:r>
          </w:p>
        </w:tc>
      </w:tr>
    </w:tbl>
    <w:p>
      <w:pPr>
        <w:spacing w:before="200" w:after="0" w:line="253" w:lineRule="exact"/>
        <w:jc w:val="both"/>
      </w:pPr>
    </w:p>
    <w:p>
      <w:r>
        <w:br w:type="page"/>
      </w:r>
    </w:p>
    <w:p>
      <w:pPr>
        <w:spacing w:before="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8. Interfaces com outros processos</w:t>
      </w:r>
    </w:p>
    <w:p>
      <w:pPr>
        <w:spacing w:before="0" w:after="20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O processo de gestão de incidentes interage com vários outros processos de gestão de serviço. A clarificação destas interfaces é essencial para evitar sobreposições e garantir a continuidade do fluxo de trabalho.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22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Processo</w:t>
            </w:r>
          </w:p>
        </w:tc>
        <w:tc>
          <w:tcPr>
            <w:tcW w:type="dxa" w:w="1417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Direcção</w:t>
            </w:r>
          </w:p>
        </w:tc>
        <w:tc>
          <w:tcPr>
            <w:tcW w:type="dxa" w:w="595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 da interface</w:t>
            </w:r>
          </w:p>
        </w:tc>
      </w:tr>
      <w:tr>
        <w:tc>
          <w:tcPr>
            <w:tcW w:type="dxa" w:w="2268"/>
            <w:shd w:val="clear" w:color="auto" w:fill="FFFFFF"/>
          </w:tcPr>
          <w:p>
            <w:pPr>
              <w:spacing w:before="80" w:after="8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Gestão de problemas</w:t>
            </w:r>
          </w:p>
        </w:tc>
        <w:tc>
          <w:tcPr>
            <w:tcW w:type="dxa" w:w="1417"/>
            <w:shd w:val="clear" w:color="auto" w:fill="DCFCE7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color w:val="000000"/>
                <w:sz w:val="20"/>
              </w:rPr>
              <w:t>Saída</w:t>
            </w:r>
          </w:p>
        </w:tc>
        <w:tc>
          <w:tcPr>
            <w:tcW w:type="dxa" w:w="5953"/>
            <w:shd w:val="clear" w:color="auto" w:fill="FFFFFF"/>
          </w:tcPr>
          <w:p>
            <w:pPr>
              <w:spacing w:before="80" w:after="8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Incidentes recorrentes ou sem causa identificada geram um registo de problema para investigação estruturada de causa-raiz.</w:t>
            </w:r>
          </w:p>
        </w:tc>
      </w:tr>
      <w:tr>
        <w:tc>
          <w:tcPr>
            <w:tcW w:type="dxa" w:w="2268"/>
            <w:shd w:val="clear" w:color="auto" w:fill="F3F4F6"/>
          </w:tcPr>
          <w:p>
            <w:pPr>
              <w:spacing w:before="80" w:after="8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Change enablement</w:t>
            </w:r>
          </w:p>
        </w:tc>
        <w:tc>
          <w:tcPr>
            <w:tcW w:type="dxa" w:w="1417"/>
            <w:shd w:val="clear" w:color="auto" w:fill="DCFCE7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color w:val="000000"/>
                <w:sz w:val="20"/>
              </w:rPr>
              <w:t>Saída</w:t>
            </w:r>
          </w:p>
        </w:tc>
        <w:tc>
          <w:tcPr>
            <w:tcW w:type="dxa" w:w="5953"/>
            <w:shd w:val="clear" w:color="auto" w:fill="F3F4F6"/>
          </w:tcPr>
          <w:p>
            <w:pPr>
              <w:spacing w:before="80" w:after="8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Quando a resolução permanente exige uma alteração à infra-estrutura ou aplicações, é submetido um pedido de mudança (RFC).</w:t>
            </w:r>
          </w:p>
        </w:tc>
      </w:tr>
      <w:tr>
        <w:tc>
          <w:tcPr>
            <w:tcW w:type="dxa" w:w="2268"/>
            <w:shd w:val="clear" w:color="auto" w:fill="FFFFFF"/>
          </w:tcPr>
          <w:p>
            <w:pPr>
              <w:spacing w:before="80" w:after="8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Gestão do conhecimento</w:t>
            </w:r>
          </w:p>
        </w:tc>
        <w:tc>
          <w:tcPr>
            <w:tcW w:type="dxa" w:w="1417"/>
            <w:shd w:val="clear" w:color="auto" w:fill="FEF9C3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color w:val="000000"/>
                <w:sz w:val="20"/>
              </w:rPr>
              <w:t>Bidirecional</w:t>
            </w:r>
          </w:p>
        </w:tc>
        <w:tc>
          <w:tcPr>
            <w:tcW w:type="dxa" w:w="5953"/>
            <w:shd w:val="clear" w:color="auto" w:fill="FFFFFF"/>
          </w:tcPr>
          <w:p>
            <w:pPr>
              <w:spacing w:before="80" w:after="8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As resoluções documentadas alimentam a base de conhecimento. O service desk consulta artigos existentes durante o diagnóstico.</w:t>
            </w:r>
          </w:p>
        </w:tc>
      </w:tr>
      <w:tr>
        <w:tc>
          <w:tcPr>
            <w:tcW w:type="dxa" w:w="2268"/>
            <w:shd w:val="clear" w:color="auto" w:fill="F3F4F6"/>
          </w:tcPr>
          <w:p>
            <w:pPr>
              <w:spacing w:before="80" w:after="8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CMDB</w:t>
            </w:r>
          </w:p>
        </w:tc>
        <w:tc>
          <w:tcPr>
            <w:tcW w:type="dxa" w:w="1417"/>
            <w:shd w:val="clear" w:color="auto" w:fill="F3F4F6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color w:val="000000"/>
                <w:sz w:val="20"/>
              </w:rPr>
              <w:t>Consulta</w:t>
            </w:r>
          </w:p>
        </w:tc>
        <w:tc>
          <w:tcPr>
            <w:tcW w:type="dxa" w:w="5953"/>
            <w:shd w:val="clear" w:color="auto" w:fill="F3F4F6"/>
          </w:tcPr>
          <w:p>
            <w:pPr>
              <w:spacing w:before="80" w:after="8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 registo de incidente é associado ao CI (item de configuração) afectado para rastreabilidade e análise de impacto.</w:t>
            </w:r>
          </w:p>
        </w:tc>
      </w:tr>
      <w:tr>
        <w:tc>
          <w:tcPr>
            <w:tcW w:type="dxa" w:w="2268"/>
            <w:shd w:val="clear" w:color="auto" w:fill="FFFFFF"/>
          </w:tcPr>
          <w:p>
            <w:pPr>
              <w:spacing w:before="80" w:after="8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Monitorização e eventos</w:t>
            </w:r>
          </w:p>
        </w:tc>
        <w:tc>
          <w:tcPr>
            <w:tcW w:type="dxa" w:w="1417"/>
            <w:shd w:val="clear" w:color="auto" w:fill="DBEAFE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color w:val="000000"/>
                <w:sz w:val="20"/>
              </w:rPr>
              <w:t>Entrada</w:t>
            </w:r>
          </w:p>
        </w:tc>
        <w:tc>
          <w:tcPr>
            <w:tcW w:type="dxa" w:w="5953"/>
            <w:shd w:val="clear" w:color="auto" w:fill="FFFFFF"/>
          </w:tcPr>
          <w:p>
            <w:pPr>
              <w:spacing w:before="80" w:after="8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Alertas de monitorização e correlação de eventos geram automaticamente registos de incidente.</w:t>
            </w:r>
          </w:p>
        </w:tc>
      </w:tr>
      <w:tr>
        <w:tc>
          <w:tcPr>
            <w:tcW w:type="dxa" w:w="2268"/>
            <w:shd w:val="clear" w:color="auto" w:fill="F3F4F6"/>
          </w:tcPr>
          <w:p>
            <w:pPr>
              <w:spacing w:before="80" w:after="8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Service desk</w:t>
            </w:r>
          </w:p>
        </w:tc>
        <w:tc>
          <w:tcPr>
            <w:tcW w:type="dxa" w:w="1417"/>
            <w:shd w:val="clear" w:color="auto" w:fill="FEF9C3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color w:val="000000"/>
                <w:sz w:val="20"/>
              </w:rPr>
              <w:t>Bidirecional</w:t>
            </w:r>
          </w:p>
        </w:tc>
        <w:tc>
          <w:tcPr>
            <w:tcW w:type="dxa" w:w="5953"/>
            <w:shd w:val="clear" w:color="auto" w:fill="F3F4F6"/>
          </w:tcPr>
          <w:p>
            <w:pPr>
              <w:spacing w:before="80" w:after="8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 service desk é o ponto único de contacto para reporte de incidentes e comunicação de actualizações ao utilizador.</w:t>
            </w:r>
          </w:p>
        </w:tc>
      </w:tr>
    </w:tbl>
    <w:p>
      <w:r>
        <w:br w:type="page"/>
      </w:r>
    </w:p>
    <w:p>
      <w:pPr>
        <w:spacing w:before="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9. Ciclo de vida do incidente</w:t>
      </w:r>
    </w:p>
    <w:p>
      <w:pPr>
        <w:spacing w:before="0" w:after="20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O incidente passa pelos seguintes estados ao longo do seu ciclo de vida. A transição entre estados deve ser reflectida em tempo real na ferramenta ITSM para garantir visibilidade e rastreabilidade.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</w:tblGrid>
      <w:tr>
        <w:trPr>
          <w:trHeight w:val="680" w:hRule="atLeast"/>
        </w:trPr>
        <w:tc>
          <w:tcPr>
            <w:tcW w:type="dxa" w:w="1247"/>
            <w:shd w:val="clear" w:color="auto" w:fill="DBEAFE"/>
            <w:tcBorders>
              <w:top w:val="single" w:sz="6" w:space="0" w:color="1B3A5C"/>
              <w:bottom w:val="single" w:sz="6" w:space="0" w:color="1B3A5C"/>
              <w:left w:val="single" w:sz="6" w:space="0" w:color="1B3A5C"/>
              <w:right w:val="single" w:sz="6" w:space="0" w:color="1B3A5C"/>
            </w:tcBorders>
          </w:tcPr>
          <w:p>
            <w:pPr>
              <w:spacing w:before="120" w:after="120"/>
              <w:jc w:val="center"/>
            </w:pPr>
            <w:r>
              <w:rPr>
                <w:rFonts w:ascii="Calibri" w:hAnsi="Calibri"/>
                <w:b/>
                <w:color w:val="1B3A5C"/>
                <w:sz w:val="18"/>
              </w:rPr>
              <w:t>Novo</w:t>
            </w:r>
          </w:p>
        </w:tc>
        <w:tc>
          <w:tcPr>
            <w:tcW w:type="dxa" w:w="283"/>
            <w:shd w:val="clear" w:color="auto" w:fill="FFFFFF"/>
          </w:tcPr>
          <w:p>
            <w:pPr>
              <w:spacing w:before="120" w:after="120"/>
              <w:jc w:val="center"/>
            </w:pPr>
            <w:r>
              <w:rPr>
                <w:rFonts w:ascii="Calibri" w:hAnsi="Calibri"/>
                <w:color w:val="6B7280"/>
                <w:sz w:val="28"/>
              </w:rPr>
              <w:t>→</w:t>
            </w:r>
          </w:p>
        </w:tc>
        <w:tc>
          <w:tcPr>
            <w:tcW w:type="dxa" w:w="1417"/>
            <w:shd w:val="clear" w:color="auto" w:fill="EFF6FF"/>
            <w:tcBorders>
              <w:top w:val="single" w:sz="6" w:space="0" w:color="1B3A5C"/>
              <w:bottom w:val="single" w:sz="6" w:space="0" w:color="1B3A5C"/>
              <w:left w:val="single" w:sz="6" w:space="0" w:color="1B3A5C"/>
              <w:right w:val="single" w:sz="6" w:space="0" w:color="1B3A5C"/>
            </w:tcBorders>
          </w:tcPr>
          <w:p>
            <w:pPr>
              <w:spacing w:before="120" w:after="120"/>
              <w:jc w:val="center"/>
            </w:pPr>
            <w:r>
              <w:rPr>
                <w:rFonts w:ascii="Calibri" w:hAnsi="Calibri"/>
                <w:b/>
                <w:color w:val="2563EB"/>
                <w:sz w:val="18"/>
              </w:rPr>
              <w:t>Em atendimento</w:t>
            </w:r>
          </w:p>
        </w:tc>
        <w:tc>
          <w:tcPr>
            <w:tcW w:type="dxa" w:w="283"/>
            <w:shd w:val="clear" w:color="auto" w:fill="FFFFFF"/>
          </w:tcPr>
          <w:p>
            <w:pPr>
              <w:spacing w:before="120" w:after="120"/>
              <w:jc w:val="center"/>
            </w:pPr>
            <w:r>
              <w:rPr>
                <w:rFonts w:ascii="Calibri" w:hAnsi="Calibri"/>
                <w:color w:val="6B7280"/>
                <w:sz w:val="28"/>
              </w:rPr>
              <w:t>→</w:t>
            </w:r>
          </w:p>
        </w:tc>
        <w:tc>
          <w:tcPr>
            <w:tcW w:type="dxa" w:w="1247"/>
            <w:shd w:val="clear" w:color="auto" w:fill="D1FAE5"/>
            <w:tcBorders>
              <w:top w:val="single" w:sz="6" w:space="0" w:color="1B3A5C"/>
              <w:bottom w:val="single" w:sz="6" w:space="0" w:color="1B3A5C"/>
              <w:left w:val="single" w:sz="6" w:space="0" w:color="1B3A5C"/>
              <w:right w:val="single" w:sz="6" w:space="0" w:color="1B3A5C"/>
            </w:tcBorders>
          </w:tcPr>
          <w:p>
            <w:pPr>
              <w:spacing w:before="120" w:after="120"/>
              <w:jc w:val="center"/>
            </w:pPr>
            <w:r>
              <w:rPr>
                <w:rFonts w:ascii="Calibri" w:hAnsi="Calibri"/>
                <w:b/>
                <w:color w:val="064E3B"/>
                <w:sz w:val="18"/>
              </w:rPr>
              <w:t>Resolvido</w:t>
            </w:r>
          </w:p>
        </w:tc>
        <w:tc>
          <w:tcPr>
            <w:tcW w:type="dxa" w:w="283"/>
            <w:shd w:val="clear" w:color="auto" w:fill="FFFFFF"/>
          </w:tcPr>
          <w:p>
            <w:pPr>
              <w:spacing w:before="120" w:after="120"/>
              <w:jc w:val="center"/>
            </w:pPr>
            <w:r>
              <w:rPr>
                <w:rFonts w:ascii="Calibri" w:hAnsi="Calibri"/>
                <w:color w:val="6B7280"/>
                <w:sz w:val="28"/>
              </w:rPr>
              <w:t>→</w:t>
            </w:r>
          </w:p>
        </w:tc>
        <w:tc>
          <w:tcPr>
            <w:tcW w:type="dxa" w:w="1587"/>
            <w:shd w:val="clear" w:color="auto" w:fill="FEF3C7"/>
            <w:tcBorders>
              <w:top w:val="single" w:sz="6" w:space="0" w:color="1B3A5C"/>
              <w:bottom w:val="single" w:sz="6" w:space="0" w:color="1B3A5C"/>
              <w:left w:val="single" w:sz="6" w:space="0" w:color="1B3A5C"/>
              <w:right w:val="single" w:sz="6" w:space="0" w:color="1B3A5C"/>
            </w:tcBorders>
          </w:tcPr>
          <w:p>
            <w:pPr>
              <w:spacing w:before="120" w:after="120"/>
              <w:jc w:val="center"/>
            </w:pPr>
            <w:r>
              <w:rPr>
                <w:rFonts w:ascii="Calibri" w:hAnsi="Calibri"/>
                <w:b/>
                <w:color w:val="5C4700"/>
                <w:sz w:val="18"/>
              </w:rPr>
              <w:t>Aguarda</w:t>
              <w:br/>
              <w:t>confirmação</w:t>
            </w:r>
          </w:p>
        </w:tc>
        <w:tc>
          <w:tcPr>
            <w:tcW w:type="dxa" w:w="283"/>
            <w:shd w:val="clear" w:color="auto" w:fill="FFFFFF"/>
          </w:tcPr>
          <w:p>
            <w:pPr>
              <w:spacing w:before="120" w:after="120"/>
              <w:jc w:val="center"/>
            </w:pPr>
            <w:r>
              <w:rPr>
                <w:rFonts w:ascii="Calibri" w:hAnsi="Calibri"/>
                <w:color w:val="6B7280"/>
                <w:sz w:val="28"/>
              </w:rPr>
              <w:t>→</w:t>
            </w:r>
          </w:p>
        </w:tc>
        <w:tc>
          <w:tcPr>
            <w:tcW w:type="dxa" w:w="1247"/>
            <w:shd w:val="clear" w:color="auto" w:fill="065F46"/>
            <w:tcBorders>
              <w:top w:val="single" w:sz="6" w:space="0" w:color="1B3A5C"/>
              <w:bottom w:val="single" w:sz="6" w:space="0" w:color="1B3A5C"/>
              <w:left w:val="single" w:sz="6" w:space="0" w:color="1B3A5C"/>
              <w:right w:val="single" w:sz="6" w:space="0" w:color="1B3A5C"/>
            </w:tcBorders>
          </w:tcPr>
          <w:p>
            <w:pPr>
              <w:spacing w:before="120" w:after="120"/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Encerrado</w:t>
            </w:r>
          </w:p>
        </w:tc>
      </w:tr>
    </w:tbl>
    <w:p>
      <w:pPr>
        <w:spacing w:before="120" w:after="80" w:line="253" w:lineRule="exact"/>
        <w:jc w:val="both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135"/>
        <w:gridCol w:w="3135"/>
        <w:gridCol w:w="3135"/>
      </w:tblGrid>
      <w:tr>
        <w:tc>
          <w:tcPr>
            <w:tcW w:type="dxa" w:w="3118"/>
            <w:shd w:val="clear" w:color="auto" w:fill="FFFFFF"/>
          </w:tcPr>
          <w:p>
            <w:pPr>
              <w:spacing w:before="80" w:after="80"/>
              <w:jc w:val="left"/>
            </w:pPr>
            <w:r>
              <w:rPr>
                <w:rFonts w:ascii="Calibri" w:hAnsi="Calibri"/>
                <w:i/>
                <w:color w:val="6B7280"/>
                <w:sz w:val="18"/>
              </w:rPr>
              <w:t>A partir de "Em atendimento":</w:t>
            </w:r>
          </w:p>
        </w:tc>
        <w:tc>
          <w:tcPr>
            <w:tcW w:type="dxa" w:w="1984"/>
            <w:shd w:val="clear" w:color="auto" w:fill="FEF3C7"/>
            <w:tcBorders>
              <w:top w:val="single" w:sz="4" w:space="0" w:color="9CA3AF"/>
              <w:bottom w:val="single" w:sz="4" w:space="0" w:color="9CA3AF"/>
              <w:left w:val="single" w:sz="4" w:space="0" w:color="9CA3AF"/>
              <w:right w:val="single" w:sz="4" w:space="0" w:color="9CA3AF"/>
            </w:tcBorders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5C4700"/>
                <w:sz w:val="18"/>
              </w:rPr>
              <w:t>Aguarda dados</w:t>
              <w:br/>
              <w:t>do utilizador</w:t>
            </w:r>
          </w:p>
        </w:tc>
        <w:tc>
          <w:tcPr>
            <w:tcW w:type="dxa" w:w="1984"/>
            <w:shd w:val="clear" w:color="auto" w:fill="FED7AA"/>
            <w:tcBorders>
              <w:top w:val="single" w:sz="4" w:space="0" w:color="9CA3AF"/>
              <w:bottom w:val="single" w:sz="4" w:space="0" w:color="9CA3AF"/>
              <w:left w:val="single" w:sz="4" w:space="0" w:color="9CA3AF"/>
              <w:right w:val="single" w:sz="4" w:space="0" w:color="9CA3AF"/>
            </w:tcBorders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9A3412"/>
                <w:sz w:val="18"/>
              </w:rPr>
              <w:t>Escalado</w:t>
            </w:r>
          </w:p>
        </w:tc>
      </w:tr>
      <w:tr>
        <w:tc>
          <w:tcPr>
            <w:tcW w:type="dxa" w:w="3118"/>
            <w:shd w:val="clear" w:color="auto" w:fill="FFFFFF"/>
          </w:tcPr>
          <w:p>
            <w:pPr>
              <w:spacing w:before="80" w:after="80"/>
              <w:jc w:val="left"/>
            </w:pPr>
            <w:r>
              <w:rPr>
                <w:rFonts w:ascii="Calibri" w:hAnsi="Calibri"/>
                <w:i/>
                <w:color w:val="6B7280"/>
                <w:sz w:val="18"/>
              </w:rPr>
              <w:t>A partir de "Encerrado":</w:t>
            </w:r>
          </w:p>
        </w:tc>
        <w:tc>
          <w:tcPr>
            <w:tcW w:type="dxa" w:w="1984"/>
            <w:shd w:val="clear" w:color="auto" w:fill="FEE2E2"/>
            <w:tcBorders>
              <w:top w:val="single" w:sz="4" w:space="0" w:color="9CA3AF"/>
              <w:bottom w:val="single" w:sz="4" w:space="0" w:color="9CA3AF"/>
              <w:left w:val="single" w:sz="4" w:space="0" w:color="9CA3AF"/>
              <w:right w:val="single" w:sz="4" w:space="0" w:color="9CA3AF"/>
            </w:tcBorders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991B1B"/>
                <w:sz w:val="18"/>
              </w:rPr>
              <w:t>Reaberto</w:t>
            </w:r>
          </w:p>
        </w:tc>
        <w:tc>
          <w:tcPr>
            <w:tcW w:type="dxa" w:w="1984"/>
            <w:shd w:val="clear" w:color="auto" w:fill="FFFFFF"/>
          </w:tcPr>
          <w:p/>
        </w:tc>
      </w:tr>
    </w:tbl>
    <w:p>
      <w:pPr>
        <w:spacing w:before="280" w:after="80" w:line="253" w:lineRule="exact"/>
        <w:jc w:val="both"/>
      </w:pPr>
    </w:p>
    <w:p>
      <w:pPr>
        <w:spacing w:before="80" w:after="120" w:line="288" w:lineRule="exact"/>
        <w:jc w:val="left"/>
      </w:pPr>
      <w:r>
        <w:rPr>
          <w:rFonts w:ascii="Calibri" w:hAnsi="Calibri"/>
          <w:b/>
          <w:color w:val="1B3A5C"/>
          <w:sz w:val="24"/>
        </w:rPr>
        <w:t>Descrição dos estados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8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8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</w:tr>
      <w:tr>
        <w:tc>
          <w:tcPr>
            <w:tcW w:type="dxa" w:w="2835"/>
            <w:shd w:val="clear" w:color="auto" w:fill="DBEAFE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000000"/>
                <w:sz w:val="20"/>
              </w:rPr>
              <w:t>Novo</w:t>
            </w:r>
          </w:p>
        </w:tc>
        <w:tc>
          <w:tcPr>
            <w:tcW w:type="dxa" w:w="6803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Estado inicial. O incidente foi registado mas ainda não foi atribuído a nenhum técnico ou equipa.</w:t>
            </w:r>
          </w:p>
        </w:tc>
      </w:tr>
      <w:tr>
        <w:tc>
          <w:tcPr>
            <w:tcW w:type="dxa" w:w="2835"/>
            <w:shd w:val="clear" w:color="auto" w:fill="EFF6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000000"/>
                <w:sz w:val="20"/>
              </w:rPr>
              <w:t>Em atendimento</w:t>
            </w:r>
          </w:p>
        </w:tc>
        <w:tc>
          <w:tcPr>
            <w:tcW w:type="dxa" w:w="6803"/>
            <w:shd w:val="clear" w:color="auto" w:fill="F9FAFB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 incidente está a ser activamente investigado pelo service desk ou equipa técnica.</w:t>
            </w:r>
          </w:p>
        </w:tc>
      </w:tr>
      <w:tr>
        <w:tc>
          <w:tcPr>
            <w:tcW w:type="dxa" w:w="2835"/>
            <w:shd w:val="clear" w:color="auto" w:fill="FEF3C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000000"/>
                <w:sz w:val="20"/>
              </w:rPr>
              <w:t>Aguarda dados do utilizador</w:t>
            </w:r>
          </w:p>
        </w:tc>
        <w:tc>
          <w:tcPr>
            <w:tcW w:type="dxa" w:w="6803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 equipa necessita de informação adicional do utilizador para prosseguir com o diagnóstico.</w:t>
            </w:r>
          </w:p>
        </w:tc>
      </w:tr>
      <w:tr>
        <w:tc>
          <w:tcPr>
            <w:tcW w:type="dxa" w:w="2835"/>
            <w:shd w:val="clear" w:color="auto" w:fill="FED7AA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000000"/>
                <w:sz w:val="20"/>
              </w:rPr>
              <w:t>Escalado</w:t>
            </w:r>
          </w:p>
        </w:tc>
        <w:tc>
          <w:tcPr>
            <w:tcW w:type="dxa" w:w="6803"/>
            <w:shd w:val="clear" w:color="auto" w:fill="F9FAFB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 incidente foi atribuído a uma equipa técnica de nível superior para diagnóstico especializado.</w:t>
            </w:r>
          </w:p>
        </w:tc>
      </w:tr>
      <w:tr>
        <w:tc>
          <w:tcPr>
            <w:tcW w:type="dxa" w:w="2835"/>
            <w:shd w:val="clear" w:color="auto" w:fill="D1FAE5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000000"/>
                <w:sz w:val="20"/>
              </w:rPr>
              <w:t>Resolvido</w:t>
            </w:r>
          </w:p>
        </w:tc>
        <w:tc>
          <w:tcPr>
            <w:tcW w:type="dxa" w:w="6803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 resolução foi aplicada e o serviço foi restaurado. Aguarda confirmação do utilizador.</w:t>
            </w:r>
          </w:p>
        </w:tc>
      </w:tr>
      <w:tr>
        <w:tc>
          <w:tcPr>
            <w:tcW w:type="dxa" w:w="2835"/>
            <w:shd w:val="clear" w:color="auto" w:fill="FEF3C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000000"/>
                <w:sz w:val="20"/>
              </w:rPr>
              <w:t>Aguarda confirmação</w:t>
            </w:r>
          </w:p>
        </w:tc>
        <w:tc>
          <w:tcPr>
            <w:tcW w:type="dxa" w:w="6803"/>
            <w:shd w:val="clear" w:color="auto" w:fill="F9FAFB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 utilizador foi notificado da resolução e aguarda-se a sua confirmação para encerramento.</w:t>
            </w:r>
          </w:p>
        </w:tc>
      </w:tr>
      <w:tr>
        <w:tc>
          <w:tcPr>
            <w:tcW w:type="dxa" w:w="2835"/>
            <w:shd w:val="clear" w:color="auto" w:fill="D1FAE5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000000"/>
                <w:sz w:val="20"/>
              </w:rPr>
              <w:t>Encerrado</w:t>
            </w:r>
          </w:p>
        </w:tc>
        <w:tc>
          <w:tcPr>
            <w:tcW w:type="dxa" w:w="6803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 utilizador confirmou a resolução. O registo está completo e finalizado.</w:t>
            </w:r>
          </w:p>
        </w:tc>
      </w:tr>
      <w:tr>
        <w:tc>
          <w:tcPr>
            <w:tcW w:type="dxa" w:w="2835"/>
            <w:shd w:val="clear" w:color="auto" w:fill="FEE2E2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000000"/>
                <w:sz w:val="20"/>
              </w:rPr>
              <w:t>Reaberto</w:t>
            </w:r>
          </w:p>
        </w:tc>
        <w:tc>
          <w:tcPr>
            <w:tcW w:type="dxa" w:w="6803"/>
            <w:shd w:val="clear" w:color="auto" w:fill="F9FAFB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 utilizador reportou que o incidente persiste após o encerramento. Inicia nova investigação.</w:t>
            </w:r>
          </w:p>
        </w:tc>
      </w:tr>
    </w:tbl>
    <w:p>
      <w:r>
        <w:br w:type="page"/>
      </w:r>
    </w:p>
    <w:p>
      <w:pPr>
        <w:spacing w:before="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10. Conceitos</w:t>
      </w:r>
    </w:p>
    <w:p>
      <w:pPr>
        <w:spacing w:before="0" w:after="20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Os conceitos seguintes são utilizados neste documento e no contexto do processo de gestão de incidentes, alinhados com o framework ITIL.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Conceito</w:t>
            </w:r>
          </w:p>
        </w:tc>
        <w:tc>
          <w:tcPr>
            <w:tcW w:type="dxa" w:w="7087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Definição</w:t>
            </w:r>
          </w:p>
        </w:tc>
      </w:tr>
      <w:tr>
        <w:tc>
          <w:tcPr>
            <w:tcW w:type="dxa" w:w="2551"/>
            <w:shd w:val="clear" w:color="auto" w:fill="F8FAF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Incidente</w:t>
            </w:r>
          </w:p>
        </w:tc>
        <w:tc>
          <w:tcPr>
            <w:tcW w:type="dxa" w:w="70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Interrupção não planeada de um serviço ou redução da qualidade de um serviço.</w:t>
            </w:r>
          </w:p>
        </w:tc>
      </w:tr>
      <w:tr>
        <w:tc>
          <w:tcPr>
            <w:tcW w:type="dxa" w:w="2551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Incidente crítico</w:t>
            </w:r>
          </w:p>
        </w:tc>
        <w:tc>
          <w:tcPr>
            <w:tcW w:type="dxa" w:w="70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Incidente de prioridade máxima que afecta gravemente o funcionamento normal da organização. Requer procedimento especial de major incident.</w:t>
            </w:r>
          </w:p>
        </w:tc>
      </w:tr>
      <w:tr>
        <w:tc>
          <w:tcPr>
            <w:tcW w:type="dxa" w:w="2551"/>
            <w:shd w:val="clear" w:color="auto" w:fill="F8FAF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Pedido de serviço</w:t>
            </w:r>
          </w:p>
        </w:tc>
        <w:tc>
          <w:tcPr>
            <w:tcW w:type="dxa" w:w="70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Solicitação formal de um utilizador para acesso a um serviço, informação ou alteração padrão. Não é uma falha de serviço.</w:t>
            </w:r>
          </w:p>
        </w:tc>
      </w:tr>
      <w:tr>
        <w:tc>
          <w:tcPr>
            <w:tcW w:type="dxa" w:w="2551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Escalação funcional</w:t>
            </w:r>
          </w:p>
        </w:tc>
        <w:tc>
          <w:tcPr>
            <w:tcW w:type="dxa" w:w="70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Passagem do incidente para uma equipa com maior conhecimento técnico quando o nível actual não consegue resolver.</w:t>
            </w:r>
          </w:p>
        </w:tc>
      </w:tr>
      <w:tr>
        <w:tc>
          <w:tcPr>
            <w:tcW w:type="dxa" w:w="2551"/>
            <w:shd w:val="clear" w:color="auto" w:fill="F8FAF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Escalação hierárquica</w:t>
            </w:r>
          </w:p>
        </w:tc>
        <w:tc>
          <w:tcPr>
            <w:tcW w:type="dxa" w:w="70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Notificação a níveis de gestão superiores quando o incidente é crítico ou o SLA está em risco.</w:t>
            </w:r>
          </w:p>
        </w:tc>
      </w:tr>
      <w:tr>
        <w:tc>
          <w:tcPr>
            <w:tcW w:type="dxa" w:w="2551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Prioridade</w:t>
            </w:r>
          </w:p>
        </w:tc>
        <w:tc>
          <w:tcPr>
            <w:tcW w:type="dxa" w:w="70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Combinação de impacto e urgência que determina a ordem de resolução e o SLA aplicável.</w:t>
            </w:r>
          </w:p>
        </w:tc>
      </w:tr>
      <w:tr>
        <w:tc>
          <w:tcPr>
            <w:tcW w:type="dxa" w:w="2551"/>
            <w:shd w:val="clear" w:color="auto" w:fill="F8FAF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Impacto</w:t>
            </w:r>
          </w:p>
        </w:tc>
        <w:tc>
          <w:tcPr>
            <w:tcW w:type="dxa" w:w="70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Medida do efeito de um incidente no negócio. Pode ser individual, departamental ou organizacional.</w:t>
            </w:r>
          </w:p>
        </w:tc>
      </w:tr>
      <w:tr>
        <w:tc>
          <w:tcPr>
            <w:tcW w:type="dxa" w:w="2551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Urgência</w:t>
            </w:r>
          </w:p>
        </w:tc>
        <w:tc>
          <w:tcPr>
            <w:tcW w:type="dxa" w:w="70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Medida da rapidez necessária para resolver o incidente em função da sensibilidade temporal do negócio.</w:t>
            </w:r>
          </w:p>
        </w:tc>
      </w:tr>
      <w:tr>
        <w:tc>
          <w:tcPr>
            <w:tcW w:type="dxa" w:w="2551"/>
            <w:shd w:val="clear" w:color="auto" w:fill="F8FAF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Workaround</w:t>
            </w:r>
          </w:p>
        </w:tc>
        <w:tc>
          <w:tcPr>
            <w:tcW w:type="dxa" w:w="70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Solução temporária que reduz ou elimina o impacto de um incidente para o qual ainda não existe resolução definitiva.</w:t>
            </w:r>
          </w:p>
        </w:tc>
      </w:tr>
      <w:tr>
        <w:tc>
          <w:tcPr>
            <w:tcW w:type="dxa" w:w="2551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Known error</w:t>
            </w:r>
          </w:p>
        </w:tc>
        <w:tc>
          <w:tcPr>
            <w:tcW w:type="dxa" w:w="70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Problema com causa-raiz e workaround documentados na base de erros conhecidos (KEDB).</w:t>
            </w:r>
          </w:p>
        </w:tc>
      </w:tr>
    </w:tbl>
    <w:p>
      <w:pPr>
        <w:spacing w:before="600" w:after="160" w:line="253" w:lineRule="exact"/>
        <w:jc w:val="both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406"/>
      </w:tblGrid>
      <w:tr>
        <w:tc>
          <w:tcPr>
            <w:tcW w:type="dxa" w:w="9406"/>
            <w:tcBorders>
              <w:top w:val="single" w:sz="8" w:space="0" w:color="1B3A5C"/>
            </w:tcBorders>
            <w:shd w:val="clear" w:color="auto" w:fill="FFFFFF"/>
          </w:tcPr>
          <w:p>
            <w:pPr>
              <w:spacing w:before="0" w:after="0"/>
            </w:pPr>
            <w:r>
              <w:t xml:space="preserve"> </w:t>
            </w:r>
          </w:p>
        </w:tc>
      </w:tr>
    </w:tbl>
    <w:p>
      <w:pPr>
        <w:spacing w:before="160" w:after="4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© 2026 Better Skills</w:t>
      </w:r>
    </w:p>
    <w:p>
      <w:pPr>
        <w:spacing w:before="0" w:after="4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better-skills.com</w:t>
      </w:r>
    </w:p>
    <w:p>
      <w:pPr>
        <w:spacing w:before="0" w:after="0" w:line="207" w:lineRule="exact"/>
        <w:jc w:val="center"/>
      </w:pPr>
      <w:r>
        <w:rPr>
          <w:rFonts w:ascii="Calibri" w:hAnsi="Calibri"/>
          <w:b w:val="0"/>
          <w:i w:val="0"/>
          <w:color w:val="6B7280"/>
          <w:sz w:val="18"/>
        </w:rPr>
        <w:t>Este documento pode ser utilizado e adaptado livremente.</w:t>
      </w:r>
    </w:p>
    <w:sectPr w:rsidR="00FC693F" w:rsidRPr="0006063C" w:rsidSect="00034616">
      <w:headerReference w:type="default" r:id="rId9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right"/>
      <w:pBdr>
        <w:bottom w:val="single" w:sz="4" w:space="1" w:color="D1D5DB"/>
      </w:pBdr>
    </w:pPr>
    <w:r>
      <w:rPr>
        <w:rFonts w:ascii="Calibri" w:hAnsi="Calibri"/>
        <w:i/>
        <w:color w:val="6B7280"/>
        <w:sz w:val="18"/>
      </w:rPr>
      <w:t>Better Skills  |  better-skills.com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