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Regulamento do Órgão de Administração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as regras de funcionamento da gerência ou conselho de administração.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Clarificar competências, deveres e procedimentos para uma governance eficaz.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composição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membros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2 gerentes / 3 administradores]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Forma de designação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deliberação da assembleia geral]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 do mandato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4 anos, renovável]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competências do órgão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Gerir correntemente a sociedade e representá-la perante terceiros.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Executar as deliberações da assembleia geral.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Elaborar e propor o orçamento e o relatório de gestão anual.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Contratar e gerir os recursos humanos da sociedade.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Decidir sobre investimentos até ao limiar definido nos estatutos.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distribuição de pelouros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Membro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Pelouro / área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Competências específicas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operações e financeiro]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comercial e marketing]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tecnologia e produto]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funcionamento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Matéria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das reuniões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mensal obrigatória, extraordinária por convocação]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Convocação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 qualquer membro, com antecedência mínima de [Preencher] dias, por [email/carta]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Quórum de funcionamento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Maioria dos membros em efectividade de funções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Deliberações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Maioria simples dos presentes; em caso de empate, voto de qualidade do presidente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actas de reunião</w:t>
      </w:r>
    </w:p>
    <w:p>
      <w:pPr>
        <w:spacing w:before="120" w:after="60"/>
      </w:pPr>
      <w:r>
        <w:rPr>
          <w:rFonts w:ascii="Calibri" w:hAnsi="Calibri"/>
          <w:sz w:val="22"/>
        </w:rPr>
        <w:t>De cada reunião é lavrada acta contendo: data, local, membros presentes, ordem de trabalhos, deliberações, votos contra e abstenções. As actas são assinadas por todos os membros presentes e arquivadas no livro de actas.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Deveres dos membros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Dever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cuidado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Actuar com a diligência de um gestor criterioso e ordenado (art. 64 CSC).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lealdade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Prosseguir os interesses da sociedade com primazia sobre interesses pessoais.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não concorrência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Não exercer actividade concorrente sem autorização da assembleia geral.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sigilo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Guardar sigilo sobre informação confidencial da sociedade.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conflitos de interesse</w:t>
      </w:r>
    </w:p>
    <w:p>
      <w:pPr>
        <w:spacing w:before="120" w:after="60"/>
      </w:pPr>
      <w:r>
        <w:rPr>
          <w:rFonts w:ascii="Calibri" w:hAnsi="Calibri"/>
          <w:sz w:val="22"/>
        </w:rPr>
        <w:t>O membro em situação de conflito de interesse deve declará-lo imediatamente, abster-se de participar na deliberação e o facto é registado em acta.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remuneração</w:t>
      </w:r>
    </w:p>
    <w:p>
      <w:pPr>
        <w:spacing w:before="120" w:after="60"/>
      </w:pPr>
      <w:r>
        <w:rPr>
          <w:rFonts w:ascii="Calibri" w:hAnsi="Calibri"/>
          <w:sz w:val="22"/>
        </w:rPr>
        <w:t>A remuneração dos membros é fixada pela assembleia geral e pode incluir componente fixa e componente variável indexada ao desempenho da sociedade. A estrutura de remuneração deve ser aprovada anualmente.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Cessação de funções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Forma de cessação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Renúncia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Comunicação escrita com antecedência mínima de [Preencher] dias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Destituição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Deliberação da assembleia geral, com ou sem justa causa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Caducidade do mandato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Fim do período para que foi designado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disposições finais</w:t>
      </w:r>
    </w:p>
    <w:p>
      <w:pPr>
        <w:spacing w:before="120" w:after="60"/>
      </w:pPr>
      <w:r>
        <w:rPr>
          <w:rFonts w:ascii="Calibri" w:hAnsi="Calibri"/>
          <w:sz w:val="22"/>
        </w:rPr>
        <w:t>Este regulamento entra em vigor na data da sua aprovação pelo órgão de administração e é revisto sempre que necessário ou no início de cada mandato. Em tudo o que não esteja previsto, aplica-se o Código das Sociedades Comerciais.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regulamento do órgão de administração é facultativo mas recomendado. Estabelece regras claras de funcionamento e reduz conflitos entre membros da gerência ou do conselho.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Regulamento do Órgão de Administração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