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>
      <w:pPr>
        <w:jc w:val="center"/>
      </w:pPr>
      <w:r>
        <w:rPr>
          <w:b/>
          <w:color w:val="1B3A5C"/>
          <w:sz w:val="36"/>
        </w:rPr>
        <w:t>Auto de abate de activo patrimonial</w:t>
      </w:r>
    </w:p>
    <w:p>
      <w:r>
        <w:br w:type="page"/>
      </w:r>
    </w:p>
    <w:p>
      <w:pPr>
        <w:pStyle w:val="Heading1"/>
      </w:pPr>
      <w:r>
        <w:t>Identificação do activo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Código patrimonial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Categoria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Localização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Data de aquisição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Valor de aquisição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Valor actual (líquido)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Motivo do abate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Motivo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(Obsolescência / Avaria irreparável / Venda / Doação / Furto / Sinistro / Outro)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Justificação detalhada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(descrever porque o activo deve ser abatido)</w:t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Destino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  <w:t>(Sucata / Venda / Doação / Reciclagem / Outro)</w:t>
            </w:r>
          </w:p>
        </w:tc>
      </w:tr>
    </w:tbl>
    <w:p/>
    <w:p>
      <w:pPr>
        <w:pStyle w:val="Heading1"/>
      </w:pPr>
      <w:r>
        <w:t>Valor residual e destino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Valor residual estimado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Valor de venda (se aplicável)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4320"/>
            <w:shd w:fill="F3F4F6"/>
          </w:tcPr>
          <w:p>
            <w:r/>
            <w:r>
              <w:rPr>
                <w:rFonts w:ascii="Calibri" w:hAnsi="Calibri"/>
                <w:b/>
                <w:color w:val="1B3A5C"/>
                <w:sz w:val="20"/>
              </w:rPr>
              <w:t>Comprador / Destinatário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p/>
    <w:p>
      <w:pPr>
        <w:pStyle w:val="Heading1"/>
      </w:pPr>
      <w:r>
        <w:t>Aprovação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Role</w:t>
            </w:r>
          </w:p>
        </w:tc>
        <w:tc>
          <w:tcPr>
            <w:tcW w:type="dxa" w:w="216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16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  <w:tc>
          <w:tcPr>
            <w:tcW w:type="dxa" w:w="2160"/>
            <w:shd w:fill="1B3A5C"/>
          </w:tcPr>
          <w:p>
            <w:r/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16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Responsável do activo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  <w:t>(Aprovado / Rejeitado)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16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Director de departamento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  <w:t>(Aprovado / Rejeitado)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  <w:tr>
        <w:tc>
          <w:tcPr>
            <w:tcW w:type="dxa" w:w="2160"/>
            <w:shd w:fill="F3F4F6"/>
          </w:tcPr>
          <w:p>
            <w:r/>
            <w:r>
              <w:rPr>
                <w:rFonts w:ascii="Calibri" w:hAnsi="Calibri"/>
                <w:b/>
                <w:sz w:val="20"/>
              </w:rPr>
              <w:t>Direcção financeira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  <w:t>(Aprovado / Rejeitado)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20"/>
              </w:rPr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