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Modelo de SLA com fornecedor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Definir os niveis de servico exigidos aos fornecedores de TI.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penalidades e creditos de servico em caso de incumprimento.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Garantir responsabilizacao e transparencia na relacao com fornecedores.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Suportar a gestao de contratos e revisoes periodicas de desempenho.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Alinhar os SLAs internos com os acordos estabelecidos com fornecedores externos.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https://better-skills.com/supplier-management/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partes do acordo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Organizacao cliente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Fornecedor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Nome da organizacao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Representante legal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do contrato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Email de contacto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Telefone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NIF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entrada em vigor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expiracao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Numero do contrato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Periodo de renovacao automatica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12 meses]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servicos cobertos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135"/>
        <w:gridCol w:w="3135"/>
        <w:gridCol w:w="3135"/>
      </w:tblGrid>
      <w:tr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Servico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1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Ambito de cobertura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servico 1]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servico 2]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[Nome do servico 3]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31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niveis de servico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Metodo de medicao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Frequencia de reporte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do servico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Percentagem de tempo em que o servico esta operacional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99,5%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Monitorizacao automatica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resolucao P1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para resolver incidentes criticos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4 horas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do sistema ITSM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resolucao P2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para resolver incidentes de alta prioridade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8 horas uteis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do sistema ITSM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de resposta inicial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para primeira resposta apos abertura de ticket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&lt;= 30 min (P1), &lt;= 2h (P2)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do sistema ITSM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Mensal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Taxa de resolucao no 1o contacto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Percentagem de pedidos resolvidos sem escalamento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70%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Relatorios do fornecedor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Satisfacao do cliente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Pontuacao media de satisfacao em inqueritos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4,0/5,0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Inqueritos pos-servico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MTBF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Tempo medio entre falhas do servico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&gt;= 720 horas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Registos de incidentes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Trimestral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penalidades e creditos de servico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Nivel de incumprimento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Condicao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Credito de servico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Processo de reclamacao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1 (Menor)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entre 99,0% e 99,5%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5% da factura mensal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Solicitacao por email em 15 dias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2 (Moderado)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entre 98,0% e 99,0%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10% da factura mensal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Solicitacao por email em 15 dias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3 (Grave)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Disponibilidade abaixo de 98,0%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20% da factura mensal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Solicitacao formal em 10 dias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Incumprimento reiterado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3+ meses consecutivos abaixo do objectivo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Direito de rescisao antecipada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Notificacao formal de 30 dias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gestao de incidentes pelo fornecedor</w:t>
      </w:r>
    </w:p>
    <w:p>
      <w:pPr>
        <w:spacing w:before="120" w:after="60"/>
      </w:pPr>
      <w:r>
        <w:rPr>
          <w:rFonts w:ascii="Calibri" w:hAnsi="Calibri"/>
          <w:sz w:val="22"/>
        </w:rPr>
        <w:t>O fornecedor compromete-se a: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um sistema de gestao de tickets integrado ou com API de integracao.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Disponibilizar acesso ao portal de suporte 24x7.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Fornecer um gestor de conta dedicado para comunicacao escalada.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Notificar proactivamente sobre manutencoes planeadas com pelo menos 5 dias uteis de antecedencia.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Publicar relatorios mensais de desempenho ate ao 5.o dia util do mes seguinte.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processo de escalamento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Nivel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Condicao de escalamento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fornecedor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Contacto cliente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1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nao resolvido no SLA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suporte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contratos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2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Incidente P1 &gt; 2 horas sem resolucao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operacoes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Nivel 3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Impacto critico no negocio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/ CTO do fornecedor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CEO da organizacao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revisao e renovacao</w:t>
      </w:r>
    </w:p>
    <w:p>
      <w:pPr>
        <w:spacing w:before="120" w:after="60"/>
      </w:pPr>
      <w:r>
        <w:rPr>
          <w:rFonts w:ascii="Calibri" w:hAnsi="Calibri"/>
          <w:sz w:val="22"/>
        </w:rPr>
        <w:t>Este acordo sera revisto nas seguintes condicoes: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Revisao trimestral de desempenho: analise dos KPIs e SLAs.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Revisao anual completa: renegociacao de objectivos e condicoes.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Revisao extraordinaria: quando o desempenho ficar abaixo do nivel 2 por 2 meses consecutivos.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Renovacao: notificacao de intencao de renovacao com 90 dias de antecedencia.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rescisao</w:t>
      </w:r>
    </w:p>
    <w:p>
      <w:pPr>
        <w:spacing w:before="120" w:after="60"/>
      </w:pPr>
      <w:r>
        <w:rPr>
          <w:rFonts w:ascii="Calibri" w:hAnsi="Calibri"/>
          <w:sz w:val="22"/>
        </w:rPr>
        <w:t>O contrato pode ser rescindido nas seguintes condicoes: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mutuo acordo, com notificacao de 30 dias.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incumprimento reiterado (Nivel 3), com notificacao de 30 dias.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insolvencia ou cessacao de actividade do fornecedor, com efeito imediato.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Por conveniencia, com notificacao de 90 dias e pagamento de compensacao acordada.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Este modelo deve ser revisto pela equipa juridica da organizacao antes de ser utilizado em contratos reais. adapte as clausulas a legislacao portuguesa aplicavel.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Modelo de SLA com fornecedor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