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0"/>
      </w:pPr>
      <w:r>
        <w:rPr>
          <w:sz w:val="12"/>
        </w:rPr>
      </w:r>
    </w:p>
    <w:p>
      <w:pPr>
        <w:shd w:val="clear" w:color="auto" w:fill="1B3A5C"/>
        <w:spacing w:before="480" w:after="0"/>
        <w:jc w:val="center"/>
      </w:pPr>
      <w:r>
        <w:rPr>
          <w:sz w:val="36"/>
        </w:rPr>
        <w:br/>
      </w:r>
    </w:p>
    <w:p>
      <w:pPr>
        <w:shd w:val="clear" w:color="auto" w:fill="1B3A5C"/>
        <w:spacing w:before="0" w:after="0"/>
        <w:jc w:val="center"/>
      </w:pPr>
      <w:r>
        <w:rPr>
          <w:rFonts w:ascii="Calibri" w:hAnsi="Calibri"/>
          <w:b/>
          <w:color w:val="FFFFFF"/>
          <w:sz w:val="52"/>
        </w:rPr>
        <w:t>Modelo de underpinning contract</w:t>
      </w:r>
    </w:p>
    <w:p>
      <w:pPr>
        <w:shd w:val="clear" w:color="auto" w:fill="1B3A5C"/>
        <w:spacing w:before="120" w:after="0"/>
        <w:jc w:val="center"/>
      </w:pPr>
      <w:r>
        <w:rPr>
          <w:rFonts w:ascii="Calibri" w:hAnsi="Calibri"/>
          <w:i/>
          <w:color w:val="BBD5ED"/>
          <w:sz w:val="24"/>
        </w:rPr>
        <w:t>Contrato de suporte com fornecedor</w:t>
      </w:r>
    </w:p>
    <w:p>
      <w:pPr>
        <w:shd w:val="clear" w:color="auto" w:fill="1B3A5C"/>
        <w:spacing w:before="0" w:after="0"/>
        <w:jc w:val="center"/>
      </w:pPr>
      <w:r>
        <w:rPr>
          <w:sz w:val="36"/>
        </w:rPr>
        <w:br/>
      </w:r>
    </w:p>
    <w:p>
      <w:pPr>
        <w:pBdr>
          <w:bottom w:val="single" w:sz="6" w:space="1" w:color="2E86C1"/>
        </w:pBdr>
        <w:spacing w:before="0" w:after="120"/>
      </w:pPr>
    </w:p>
    <w:p>
      <w:pPr>
        <w:spacing w:before="240" w:after="120"/>
      </w:pPr>
    </w:p>
    <w:tbl>
      <w:tblPr>
        <w:tblStyle w:val="TableGrid"/>
        <w:tblW w:type="auto" w:w="0"/>
        <w:tblLook w:firstColumn="1" w:firstRow="1" w:lastColumn="0" w:lastRow="0" w:noHBand="0" w:noVBand="1" w:val="04A0"/>
      </w:tblPr>
      <w:tblGrid>
        <w:gridCol w:w="4703"/>
        <w:gridCol w:w="4703"/>
      </w:tblGrid>
      <w:tr>
        <w:tc>
          <w:tcPr>
            <w:tcW w:type="dxa" w:w="2551"/>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80" w:after="80"/>
            </w:pPr>
            <w:r>
              <w:rPr>
                <w:rFonts w:ascii="Calibri" w:hAnsi="Calibri"/>
                <w:b/>
                <w:color w:val="FFFFFF"/>
                <w:sz w:val="20"/>
              </w:rPr>
              <w:t>Versão</w:t>
            </w:r>
          </w:p>
        </w:tc>
        <w:tc>
          <w:tcPr>
            <w:tcW w:type="dxa" w:w="6520"/>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sz w:val="20"/>
              </w:rPr>
              <w:t>1.0</w:t>
            </w:r>
          </w:p>
        </w:tc>
      </w:tr>
      <w:tr>
        <w:tc>
          <w:tcPr>
            <w:tcW w:type="dxa" w:w="2551"/>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80" w:after="80"/>
            </w:pPr>
            <w:r>
              <w:rPr>
                <w:rFonts w:ascii="Calibri" w:hAnsi="Calibri"/>
                <w:b/>
                <w:color w:val="FFFFFF"/>
                <w:sz w:val="20"/>
              </w:rPr>
              <w:t>Data</w:t>
            </w:r>
          </w:p>
        </w:tc>
        <w:tc>
          <w:tcPr>
            <w:tcW w:type="dxa" w:w="6520"/>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888888"/>
                <w:sz w:val="20"/>
              </w:rPr>
              <w:t>[DD/MM/AAAA]</w:t>
            </w:r>
          </w:p>
        </w:tc>
      </w:tr>
      <w:tr>
        <w:tc>
          <w:tcPr>
            <w:tcW w:type="dxa" w:w="2551"/>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80" w:after="80"/>
            </w:pPr>
            <w:r>
              <w:rPr>
                <w:rFonts w:ascii="Calibri" w:hAnsi="Calibri"/>
                <w:b/>
                <w:color w:val="FFFFFF"/>
                <w:sz w:val="20"/>
              </w:rPr>
              <w:t>Autor</w:t>
            </w:r>
          </w:p>
        </w:tc>
        <w:tc>
          <w:tcPr>
            <w:tcW w:type="dxa" w:w="6520"/>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888888"/>
                <w:sz w:val="20"/>
              </w:rPr>
              <w:t>[Nome do autor]</w:t>
            </w:r>
          </w:p>
        </w:tc>
      </w:tr>
      <w:tr>
        <w:tc>
          <w:tcPr>
            <w:tcW w:type="dxa" w:w="2551"/>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80" w:after="80"/>
            </w:pPr>
            <w:r>
              <w:rPr>
                <w:rFonts w:ascii="Calibri" w:hAnsi="Calibri"/>
                <w:b/>
                <w:color w:val="FFFFFF"/>
                <w:sz w:val="20"/>
              </w:rPr>
              <w:t>Estado</w:t>
            </w:r>
          </w:p>
        </w:tc>
        <w:tc>
          <w:tcPr>
            <w:tcW w:type="dxa" w:w="6520"/>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888888"/>
                <w:sz w:val="20"/>
              </w:rPr>
              <w:t>[Rascunho / em revisão / aprovado]</w:t>
            </w:r>
          </w:p>
        </w:tc>
      </w:tr>
      <w:tr>
        <w:tc>
          <w:tcPr>
            <w:tcW w:type="dxa" w:w="2551"/>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80" w:after="80"/>
            </w:pPr>
            <w:r>
              <w:rPr>
                <w:rFonts w:ascii="Calibri" w:hAnsi="Calibri"/>
                <w:b/>
                <w:color w:val="FFFFFF"/>
                <w:sz w:val="20"/>
              </w:rPr>
              <w:t>Classificação</w:t>
            </w:r>
          </w:p>
        </w:tc>
        <w:tc>
          <w:tcPr>
            <w:tcW w:type="dxa" w:w="6520"/>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888888"/>
                <w:sz w:val="20"/>
              </w:rPr>
              <w:t>[Interno / confidencial / público]</w:t>
            </w:r>
          </w:p>
        </w:tc>
      </w:tr>
      <w:tr>
        <w:tc>
          <w:tcPr>
            <w:tcW w:type="dxa" w:w="2551"/>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80" w:after="80"/>
            </w:pPr>
            <w:r>
              <w:rPr>
                <w:rFonts w:ascii="Calibri" w:hAnsi="Calibri"/>
                <w:b/>
                <w:color w:val="FFFFFF"/>
                <w:sz w:val="20"/>
              </w:rPr>
              <w:t>Referência</w:t>
            </w:r>
          </w:p>
        </w:tc>
        <w:tc>
          <w:tcPr>
            <w:tcW w:type="dxa" w:w="6520"/>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888888"/>
                <w:sz w:val="20"/>
              </w:rPr>
              <w:t>[REF-001]</w:t>
            </w:r>
          </w:p>
        </w:tc>
      </w:tr>
    </w:tbl>
    <w:p>
      <w:pPr>
        <w:spacing w:before="720" w:after="120"/>
      </w:pPr>
    </w:p>
    <w:p>
      <w:pPr>
        <w:spacing w:before="0" w:after="40"/>
        <w:jc w:val="center"/>
      </w:pPr>
      <w:r>
        <w:rPr>
          <w:rFonts w:ascii="Calibri" w:hAnsi="Calibri"/>
          <w:i/>
          <w:color w:val="AAAAAA"/>
          <w:sz w:val="22"/>
        </w:rPr>
        <w:t>[Logo da organização]</w:t>
      </w:r>
    </w:p>
    <w:p>
      <w:pPr>
        <w:spacing w:before="40" w:after="240"/>
        <w:jc w:val="center"/>
      </w:pPr>
      <w:r>
        <w:rPr>
          <w:rFonts w:ascii="Calibri" w:hAnsi="Calibri"/>
          <w:b/>
          <w:color w:val="1B3A5C"/>
          <w:sz w:val="28"/>
        </w:rPr>
        <w:t>[Nome da organização]</w:t>
      </w:r>
    </w:p>
    <w:p>
      <w:pPr>
        <w:spacing w:before="0" w:after="0"/>
        <w:jc w:val="center"/>
      </w:pPr>
      <w:r>
        <w:rPr>
          <w:rFonts w:ascii="Calibri" w:hAnsi="Calibri"/>
          <w:color w:val="AAAAAA"/>
          <w:sz w:val="18"/>
        </w:rPr>
        <w:t>Preparado por Better Skills — better-skills.com</w:t>
      </w:r>
    </w:p>
    <w:p>
      <w:r>
        <w:br w:type="page"/>
      </w:r>
    </w:p>
    <w:p>
      <w:pPr>
        <w:spacing w:before="400" w:after="160"/>
        <w:pBdr>
          <w:bottom w:val="single" w:sz="4" w:space="3" w:color="D0D0D0"/>
        </w:pBdr>
      </w:pPr>
      <w:r>
        <w:rPr>
          <w:rFonts w:ascii="Calibri" w:hAnsi="Calibri"/>
          <w:color w:val="2E86C1"/>
          <w:sz w:val="28"/>
        </w:rPr>
        <w:t xml:space="preserve">■ </w:t>
      </w:r>
      <w:r>
        <w:rPr>
          <w:rFonts w:ascii="Calibri" w:hAnsi="Calibri"/>
          <w:b/>
          <w:color w:val="1B3A5C"/>
          <w:sz w:val="32"/>
        </w:rPr>
        <w:t>1. objectivo</w:t>
      </w:r>
    </w:p>
    <w:p>
      <w:pPr>
        <w:pStyle w:val="ListBullet"/>
        <w:spacing w:before="40" w:after="40"/>
      </w:pPr>
      <w:r>
        <w:rPr>
          <w:rFonts w:ascii="Calibri" w:hAnsi="Calibri"/>
          <w:sz w:val="22"/>
        </w:rPr>
        <w:t>Formalizar os acordos de nível de serviço entre a organização e os seus fornecedores externos de TI.</w:t>
      </w:r>
    </w:p>
    <w:p>
      <w:pPr>
        <w:pStyle w:val="ListBullet"/>
        <w:spacing w:before="40" w:after="40"/>
      </w:pPr>
      <w:r>
        <w:rPr>
          <w:rFonts w:ascii="Calibri" w:hAnsi="Calibri"/>
          <w:sz w:val="22"/>
        </w:rPr>
        <w:t>Definir as obrigações, métricas e penalizações aplicáveis ao fornecedor de suporte.</w:t>
      </w:r>
    </w:p>
    <w:p>
      <w:pPr>
        <w:pStyle w:val="ListBullet"/>
        <w:spacing w:before="40" w:after="40"/>
      </w:pPr>
      <w:r>
        <w:rPr>
          <w:rFonts w:ascii="Calibri" w:hAnsi="Calibri"/>
          <w:sz w:val="22"/>
        </w:rPr>
        <w:t>Suportar o cumprimento dos SLAs internos com os clientes, garantindo que os fornecedores respondem adequadamente.</w:t>
      </w:r>
    </w:p>
    <w:p>
      <w:pPr>
        <w:pStyle w:val="ListBullet"/>
        <w:spacing w:before="40" w:after="40"/>
      </w:pPr>
      <w:r>
        <w:rPr>
          <w:rFonts w:ascii="Calibri" w:hAnsi="Calibri"/>
          <w:sz w:val="22"/>
        </w:rPr>
        <w:t>Estabelecer mecanismos de governance, reporte e resolução de conflitos com os fornecedores.</w:t>
      </w:r>
    </w:p>
    <w:p>
      <w:pPr>
        <w:pStyle w:val="ListBullet"/>
        <w:spacing w:before="40" w:after="40"/>
      </w:pPr>
      <w:r>
        <w:rPr>
          <w:rFonts w:ascii="Calibri" w:hAnsi="Calibri"/>
          <w:sz w:val="22"/>
        </w:rPr>
        <w:t>Cumprir os requisitos da prática de supplier management do ITIL 4.</w:t>
      </w:r>
    </w:p>
    <w:p>
      <w:pPr>
        <w:spacing w:before="400" w:after="160"/>
        <w:pBdr>
          <w:bottom w:val="single" w:sz="4" w:space="3" w:color="D0D0D0"/>
        </w:pBdr>
      </w:pPr>
      <w:r>
        <w:rPr>
          <w:rFonts w:ascii="Calibri" w:hAnsi="Calibri"/>
          <w:color w:val="2E86C1"/>
          <w:sz w:val="28"/>
        </w:rPr>
        <w:t xml:space="preserve">■ </w:t>
      </w:r>
      <w:r>
        <w:rPr>
          <w:rFonts w:ascii="Calibri" w:hAnsi="Calibri"/>
          <w:b/>
          <w:color w:val="1B3A5C"/>
          <w:sz w:val="32"/>
        </w:rPr>
        <w:t>2. instruções de utilização</w:t>
      </w:r>
    </w:p>
    <w:p>
      <w:pPr>
        <w:pStyle w:val="ListBullet"/>
        <w:spacing w:before="40" w:after="40"/>
      </w:pPr>
      <w:r>
        <w:rPr>
          <w:rFonts w:ascii="Calibri" w:hAnsi="Calibri"/>
          <w:sz w:val="22"/>
        </w:rPr>
        <w:t>Preencha todos os campos assinalados com [Preencher] com a informação específica da sua organização.</w:t>
      </w:r>
    </w:p>
    <w:p>
      <w:pPr>
        <w:pStyle w:val="ListBullet"/>
        <w:spacing w:before="40" w:after="40"/>
      </w:pPr>
      <w:r>
        <w:rPr>
          <w:rFonts w:ascii="Calibri" w:hAnsi="Calibri"/>
          <w:sz w:val="22"/>
        </w:rPr>
        <w:t>Os campos com [Seleccionar: ...] devem ser preenchidos escolhendo uma das opções indicadas.</w:t>
      </w:r>
    </w:p>
    <w:p>
      <w:pPr>
        <w:pStyle w:val="ListBullet"/>
        <w:spacing w:before="40" w:after="40"/>
      </w:pPr>
      <w:r>
        <w:rPr>
          <w:rFonts w:ascii="Calibri" w:hAnsi="Calibri"/>
          <w:sz w:val="22"/>
        </w:rPr>
        <w:t>Personalize as secções conforme a maturidade e dimensão da sua organização.</w:t>
      </w:r>
    </w:p>
    <w:p>
      <w:pPr>
        <w:pStyle w:val="ListBullet"/>
        <w:spacing w:before="40" w:after="40"/>
      </w:pPr>
      <w:r>
        <w:rPr>
          <w:rFonts w:ascii="Calibri" w:hAnsi="Calibri"/>
          <w:sz w:val="22"/>
        </w:rPr>
        <w:t>Mantenha o registo actualizado sempre que houver alterações relevantes.</w:t>
      </w:r>
    </w:p>
    <w:p>
      <w:pPr>
        <w:pStyle w:val="ListBullet"/>
        <w:spacing w:before="40" w:after="40"/>
      </w:pPr>
      <w:r>
        <w:rPr>
          <w:rFonts w:ascii="Calibri" w:hAnsi="Calibri"/>
          <w:sz w:val="22"/>
        </w:rPr>
        <w:t>Guarde o documento no repositório central da sua organização com controlo de versões.</w:t>
      </w:r>
    </w:p>
    <w:p>
      <w:pPr>
        <w:shd w:val="clear" w:color="auto" w:fill="E6F4EA"/>
        <w:pBdr>
          <w:left w:val="single" w:sz="18" w:space="8" w:color="27AE60"/>
        </w:pBdr>
        <w:spacing w:before="160" w:after="160"/>
        <w:ind w:left="284" w:right="284"/>
      </w:pPr>
      <w:r>
        <w:rPr>
          <w:rFonts w:ascii="Calibri" w:hAnsi="Calibri"/>
          <w:b/>
          <w:color w:val="27AE60"/>
          <w:sz w:val="20"/>
        </w:rPr>
        <w:t xml:space="preserve">DICA: </w:t>
      </w:r>
      <w:r>
        <w:rPr>
          <w:rFonts w:ascii="Calibri" w:hAnsi="Calibri"/>
          <w:color w:val="333333"/>
          <w:sz w:val="20"/>
        </w:rPr>
        <w:t>Para orientação detalhada sobre este processo, consulte o guia completo em: https://better-skills.com/supplier-management/</w:t>
      </w:r>
    </w:p>
    <w:p>
      <w:pPr>
        <w:spacing w:before="400" w:after="160"/>
        <w:pBdr>
          <w:bottom w:val="single" w:sz="4" w:space="3" w:color="D0D0D0"/>
        </w:pBdr>
      </w:pPr>
      <w:r>
        <w:rPr>
          <w:rFonts w:ascii="Calibri" w:hAnsi="Calibri"/>
          <w:color w:val="2E86C1"/>
          <w:sz w:val="28"/>
        </w:rPr>
        <w:t xml:space="preserve">■ </w:t>
      </w:r>
      <w:r>
        <w:rPr>
          <w:rFonts w:ascii="Calibri" w:hAnsi="Calibri"/>
          <w:b/>
          <w:color w:val="1B3A5C"/>
          <w:sz w:val="32"/>
        </w:rPr>
        <w:t>3. partes do contrato</w:t>
      </w:r>
    </w:p>
    <w:tbl>
      <w:tblPr>
        <w:tblStyle w:val="TableGrid"/>
        <w:tblW w:type="auto" w:w="0"/>
        <w:jc w:val="left"/>
        <w:tblLook w:firstColumn="1" w:firstRow="1" w:lastColumn="0" w:lastRow="0" w:noHBand="0" w:noVBand="1" w:val="04A0"/>
      </w:tblPr>
      <w:tblGrid>
        <w:gridCol w:w="3135"/>
        <w:gridCol w:w="3135"/>
        <w:gridCol w:w="3135"/>
      </w:tblGrid>
      <w:tr>
        <w:tc>
          <w:tcPr>
            <w:tcW w:type="dxa" w:w="2835"/>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Campo</w:t>
            </w:r>
          </w:p>
        </w:tc>
        <w:tc>
          <w:tcPr>
            <w:tcW w:type="dxa" w:w="3969"/>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Organização cliente</w:t>
            </w:r>
          </w:p>
        </w:tc>
        <w:tc>
          <w:tcPr>
            <w:tcW w:type="dxa" w:w="3969"/>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Fornecedor</w:t>
            </w:r>
          </w:p>
        </w:tc>
      </w:tr>
      <w:tr>
        <w:tc>
          <w:tcPr>
            <w:tcW w:type="dxa" w:w="2835"/>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Nome / designação social</w:t>
            </w:r>
          </w:p>
        </w:tc>
        <w:tc>
          <w:tcPr>
            <w:tcW w:type="dxa" w:w="3969"/>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c>
          <w:tcPr>
            <w:tcW w:type="dxa" w:w="3969"/>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r>
      <w:tr>
        <w:tc>
          <w:tcPr>
            <w:tcW w:type="dxa" w:w="2835"/>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NIF / NIPC</w:t>
            </w:r>
          </w:p>
        </w:tc>
        <w:tc>
          <w:tcPr>
            <w:tcW w:type="dxa" w:w="3969"/>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c>
          <w:tcPr>
            <w:tcW w:type="dxa" w:w="3969"/>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r>
      <w:tr>
        <w:tc>
          <w:tcPr>
            <w:tcW w:type="dxa" w:w="2835"/>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Morada</w:t>
            </w:r>
          </w:p>
        </w:tc>
        <w:tc>
          <w:tcPr>
            <w:tcW w:type="dxa" w:w="3969"/>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c>
          <w:tcPr>
            <w:tcW w:type="dxa" w:w="3969"/>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r>
      <w:tr>
        <w:tc>
          <w:tcPr>
            <w:tcW w:type="dxa" w:w="2835"/>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Representante legal</w:t>
            </w:r>
          </w:p>
        </w:tc>
        <w:tc>
          <w:tcPr>
            <w:tcW w:type="dxa" w:w="3969"/>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c>
          <w:tcPr>
            <w:tcW w:type="dxa" w:w="3969"/>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r>
      <w:tr>
        <w:tc>
          <w:tcPr>
            <w:tcW w:type="dxa" w:w="2835"/>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Cargo do representante</w:t>
            </w:r>
          </w:p>
        </w:tc>
        <w:tc>
          <w:tcPr>
            <w:tcW w:type="dxa" w:w="3969"/>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c>
          <w:tcPr>
            <w:tcW w:type="dxa" w:w="3969"/>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r>
      <w:tr>
        <w:tc>
          <w:tcPr>
            <w:tcW w:type="dxa" w:w="2835"/>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Email</w:t>
            </w:r>
          </w:p>
        </w:tc>
        <w:tc>
          <w:tcPr>
            <w:tcW w:type="dxa" w:w="3969"/>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c>
          <w:tcPr>
            <w:tcW w:type="dxa" w:w="3969"/>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r>
      <w:tr>
        <w:tc>
          <w:tcPr>
            <w:tcW w:type="dxa" w:w="2835"/>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Telefone</w:t>
            </w:r>
          </w:p>
        </w:tc>
        <w:tc>
          <w:tcPr>
            <w:tcW w:type="dxa" w:w="3969"/>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c>
          <w:tcPr>
            <w:tcW w:type="dxa" w:w="3969"/>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r>
      <w:tr>
        <w:tc>
          <w:tcPr>
            <w:tcW w:type="dxa" w:w="2835"/>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Gestor de conta / contrato</w:t>
            </w:r>
          </w:p>
        </w:tc>
        <w:tc>
          <w:tcPr>
            <w:tcW w:type="dxa" w:w="3969"/>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c>
          <w:tcPr>
            <w:tcW w:type="dxa" w:w="3969"/>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r>
    </w:tbl>
    <w:p>
      <w:pPr>
        <w:spacing w:before="160" w:after="80"/>
      </w:pPr>
    </w:p>
    <w:p>
      <w:pPr>
        <w:spacing w:before="400" w:after="160"/>
        <w:pBdr>
          <w:bottom w:val="single" w:sz="4" w:space="3" w:color="D0D0D0"/>
        </w:pBdr>
      </w:pPr>
      <w:r>
        <w:rPr>
          <w:rFonts w:ascii="Calibri" w:hAnsi="Calibri"/>
          <w:color w:val="2E86C1"/>
          <w:sz w:val="28"/>
        </w:rPr>
        <w:t xml:space="preserve">■ </w:t>
      </w:r>
      <w:r>
        <w:rPr>
          <w:rFonts w:ascii="Calibri" w:hAnsi="Calibri"/>
          <w:b/>
          <w:color w:val="1B3A5C"/>
          <w:sz w:val="32"/>
        </w:rPr>
        <w:t>4. âmbito dos serviços</w:t>
      </w:r>
    </w:p>
    <w:p>
      <w:pPr>
        <w:spacing w:before="120" w:after="60"/>
      </w:pPr>
      <w:r>
        <w:rPr>
          <w:rFonts w:ascii="Calibri" w:hAnsi="Calibri"/>
          <w:sz w:val="22"/>
        </w:rPr>
        <w:t>O presente contrato abrange os seguintes serviços prestados pelo fornecedor à organização cliente:</w:t>
      </w:r>
    </w:p>
    <w:tbl>
      <w:tblPr>
        <w:tblStyle w:val="TableGrid"/>
        <w:tblW w:type="auto" w:w="0"/>
        <w:jc w:val="left"/>
        <w:tblLook w:firstColumn="1" w:firstRow="1" w:lastColumn="0" w:lastRow="0" w:noHBand="0" w:noVBand="1" w:val="04A0"/>
      </w:tblPr>
      <w:tblGrid>
        <w:gridCol w:w="3135"/>
        <w:gridCol w:w="3135"/>
        <w:gridCol w:w="3135"/>
      </w:tblGrid>
      <w:tr>
        <w:tc>
          <w:tcPr>
            <w:tcW w:type="dxa" w:w="1417"/>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Ref.</w:t>
            </w:r>
          </w:p>
        </w:tc>
        <w:tc>
          <w:tcPr>
            <w:tcW w:type="dxa" w:w="5669"/>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Descrição do serviço</w:t>
            </w:r>
          </w:p>
        </w:tc>
        <w:tc>
          <w:tcPr>
            <w:tcW w:type="dxa" w:w="3402"/>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Observações</w:t>
            </w:r>
          </w:p>
        </w:tc>
      </w:tr>
      <w:tr>
        <w:tc>
          <w:tcPr>
            <w:tcW w:type="dxa" w:w="1417"/>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S-01</w:t>
            </w:r>
          </w:p>
        </w:tc>
        <w:tc>
          <w:tcPr>
            <w:tcW w:type="dxa" w:w="5669"/>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 — descrever o serviço 1]</w:t>
            </w:r>
          </w:p>
        </w:tc>
        <w:tc>
          <w:tcPr>
            <w:tcW w:type="dxa" w:w="3402"/>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r>
      <w:tr>
        <w:tc>
          <w:tcPr>
            <w:tcW w:type="dxa" w:w="1417"/>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S-02</w:t>
            </w:r>
          </w:p>
        </w:tc>
        <w:tc>
          <w:tcPr>
            <w:tcW w:type="dxa" w:w="5669"/>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 — descrever o serviço 2]</w:t>
            </w:r>
          </w:p>
        </w:tc>
        <w:tc>
          <w:tcPr>
            <w:tcW w:type="dxa" w:w="3402"/>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r>
      <w:tr>
        <w:tc>
          <w:tcPr>
            <w:tcW w:type="dxa" w:w="1417"/>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S-03</w:t>
            </w:r>
          </w:p>
        </w:tc>
        <w:tc>
          <w:tcPr>
            <w:tcW w:type="dxa" w:w="5669"/>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 — descrever o serviço 3]</w:t>
            </w:r>
          </w:p>
        </w:tc>
        <w:tc>
          <w:tcPr>
            <w:tcW w:type="dxa" w:w="3402"/>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r>
    </w:tbl>
    <w:p>
      <w:pPr>
        <w:spacing w:before="160" w:after="80"/>
      </w:pPr>
    </w:p>
    <w:p>
      <w:pPr>
        <w:spacing w:before="120" w:after="60"/>
      </w:pPr>
      <w:r>
        <w:rPr>
          <w:rFonts w:ascii="Calibri" w:hAnsi="Calibri"/>
          <w:i/>
          <w:color w:val="888888"/>
          <w:sz w:val="22"/>
        </w:rPr>
        <w:t>Estão excluídos do âmbito deste contrato: [Preencher — listar exclusões expressas]</w:t>
      </w:r>
    </w:p>
    <w:p>
      <w:pPr>
        <w:spacing w:before="400" w:after="160"/>
        <w:pBdr>
          <w:bottom w:val="single" w:sz="4" w:space="3" w:color="D0D0D0"/>
        </w:pBdr>
      </w:pPr>
      <w:r>
        <w:rPr>
          <w:rFonts w:ascii="Calibri" w:hAnsi="Calibri"/>
          <w:color w:val="2E86C1"/>
          <w:sz w:val="28"/>
        </w:rPr>
        <w:t xml:space="preserve">■ </w:t>
      </w:r>
      <w:r>
        <w:rPr>
          <w:rFonts w:ascii="Calibri" w:hAnsi="Calibri"/>
          <w:b/>
          <w:color w:val="1B3A5C"/>
          <w:sz w:val="32"/>
        </w:rPr>
        <w:t>5. níveis de serviço</w:t>
      </w:r>
    </w:p>
    <w:p>
      <w:pPr>
        <w:spacing w:before="120" w:after="60"/>
      </w:pPr>
      <w:r>
        <w:rPr>
          <w:rFonts w:ascii="Calibri" w:hAnsi="Calibri"/>
          <w:sz w:val="22"/>
        </w:rPr>
        <w:t>O fornecedor compromete-se a cumprir as seguintes métricas de nível de serviço:</w:t>
      </w:r>
    </w:p>
    <w:tbl>
      <w:tblPr>
        <w:tblStyle w:val="TableGrid"/>
        <w:tblW w:type="auto" w:w="0"/>
        <w:jc w:val="left"/>
        <w:tblLook w:firstColumn="1" w:firstRow="1" w:lastColumn="0" w:lastRow="0" w:noHBand="0" w:noVBand="1" w:val="04A0"/>
      </w:tblPr>
      <w:tblGrid>
        <w:gridCol w:w="1881"/>
        <w:gridCol w:w="1881"/>
        <w:gridCol w:w="1881"/>
        <w:gridCol w:w="1881"/>
        <w:gridCol w:w="1881"/>
      </w:tblGrid>
      <w:tr>
        <w:tc>
          <w:tcPr>
            <w:tcW w:type="dxa" w:w="2268"/>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Métrica</w:t>
            </w:r>
          </w:p>
        </w:tc>
        <w:tc>
          <w:tcPr>
            <w:tcW w:type="dxa" w:w="2268"/>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Objectivo</w:t>
            </w:r>
          </w:p>
        </w:tc>
        <w:tc>
          <w:tcPr>
            <w:tcW w:type="dxa" w:w="2835"/>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Método de medição</w:t>
            </w:r>
          </w:p>
        </w:tc>
        <w:tc>
          <w:tcPr>
            <w:tcW w:type="dxa" w:w="1701"/>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Periodicidade de reporte</w:t>
            </w:r>
          </w:p>
        </w:tc>
        <w:tc>
          <w:tcPr>
            <w:tcW w:type="dxa" w:w="2551"/>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Penalização por incumprimento</w:t>
            </w:r>
          </w:p>
        </w:tc>
      </w:tr>
      <w:tr>
        <w:tc>
          <w:tcPr>
            <w:tcW w:type="dxa" w:w="2268"/>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Disponibilidade do serviço</w:t>
            </w:r>
          </w:p>
        </w:tc>
        <w:tc>
          <w:tcPr>
            <w:tcW w:type="dxa" w:w="2268"/>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 — ex: ≥ 99,5% mensal]</w:t>
            </w:r>
          </w:p>
        </w:tc>
        <w:tc>
          <w:tcPr>
            <w:tcW w:type="dxa" w:w="2835"/>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Monitorização automática com relatório mensal</w:t>
            </w:r>
          </w:p>
        </w:tc>
        <w:tc>
          <w:tcPr>
            <w:tcW w:type="dxa" w:w="170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Mensal</w:t>
            </w:r>
          </w:p>
        </w:tc>
        <w:tc>
          <w:tcPr>
            <w:tcW w:type="dxa" w:w="255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 — ex: crédito de serviço de X% por cada 0,1% abaixo do objectivo]</w:t>
            </w:r>
          </w:p>
        </w:tc>
      </w:tr>
      <w:tr>
        <w:tc>
          <w:tcPr>
            <w:tcW w:type="dxa" w:w="2268"/>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Tempo de resposta inicial (P1)</w:t>
            </w:r>
          </w:p>
        </w:tc>
        <w:tc>
          <w:tcPr>
            <w:tcW w:type="dxa" w:w="2268"/>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 — ex: ≤ 30 minutos]</w:t>
            </w:r>
          </w:p>
        </w:tc>
        <w:tc>
          <w:tcPr>
            <w:tcW w:type="dxa" w:w="2835"/>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Registo de tickets no sistema ITSM</w:t>
            </w:r>
          </w:p>
        </w:tc>
        <w:tc>
          <w:tcPr>
            <w:tcW w:type="dxa" w:w="1701"/>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Mensal</w:t>
            </w:r>
          </w:p>
        </w:tc>
        <w:tc>
          <w:tcPr>
            <w:tcW w:type="dxa" w:w="2551"/>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 — ex: penalização de €Y por incidente fora do SLA]</w:t>
            </w:r>
          </w:p>
        </w:tc>
      </w:tr>
      <w:tr>
        <w:tc>
          <w:tcPr>
            <w:tcW w:type="dxa" w:w="2268"/>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Tempo de resolução (P1)</w:t>
            </w:r>
          </w:p>
        </w:tc>
        <w:tc>
          <w:tcPr>
            <w:tcW w:type="dxa" w:w="2268"/>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 — ex: ≤ 4 horas]</w:t>
            </w:r>
          </w:p>
        </w:tc>
        <w:tc>
          <w:tcPr>
            <w:tcW w:type="dxa" w:w="2835"/>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Registo de tickets no sistema ITSM</w:t>
            </w:r>
          </w:p>
        </w:tc>
        <w:tc>
          <w:tcPr>
            <w:tcW w:type="dxa" w:w="170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Mensal</w:t>
            </w:r>
          </w:p>
        </w:tc>
        <w:tc>
          <w:tcPr>
            <w:tcW w:type="dxa" w:w="255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r>
      <w:tr>
        <w:tc>
          <w:tcPr>
            <w:tcW w:type="dxa" w:w="2268"/>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Tempo de resolução (P2)</w:t>
            </w:r>
          </w:p>
        </w:tc>
        <w:tc>
          <w:tcPr>
            <w:tcW w:type="dxa" w:w="2268"/>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 — ex: ≤ 8 horas úteis]</w:t>
            </w:r>
          </w:p>
        </w:tc>
        <w:tc>
          <w:tcPr>
            <w:tcW w:type="dxa" w:w="2835"/>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Registo de tickets no sistema ITSM</w:t>
            </w:r>
          </w:p>
        </w:tc>
        <w:tc>
          <w:tcPr>
            <w:tcW w:type="dxa" w:w="1701"/>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Mensal</w:t>
            </w:r>
          </w:p>
        </w:tc>
        <w:tc>
          <w:tcPr>
            <w:tcW w:type="dxa" w:w="2551"/>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r>
      <w:tr>
        <w:tc>
          <w:tcPr>
            <w:tcW w:type="dxa" w:w="2268"/>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Relatórios de serviço</w:t>
            </w:r>
          </w:p>
        </w:tc>
        <w:tc>
          <w:tcPr>
            <w:tcW w:type="dxa" w:w="2268"/>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Entregues até ao 5.º dia útil do mês seguinte</w:t>
            </w:r>
          </w:p>
        </w:tc>
        <w:tc>
          <w:tcPr>
            <w:tcW w:type="dxa" w:w="2835"/>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Verificação de entrega e conteúdo</w:t>
            </w:r>
          </w:p>
        </w:tc>
        <w:tc>
          <w:tcPr>
            <w:tcW w:type="dxa" w:w="170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Mensal</w:t>
            </w:r>
          </w:p>
        </w:tc>
        <w:tc>
          <w:tcPr>
            <w:tcW w:type="dxa" w:w="255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 — ex: crédito de €Z por atraso]</w:t>
            </w:r>
          </w:p>
        </w:tc>
      </w:tr>
    </w:tbl>
    <w:p>
      <w:pPr>
        <w:spacing w:before="160" w:after="80"/>
      </w:pPr>
    </w:p>
    <w:p>
      <w:pPr>
        <w:spacing w:before="400" w:after="160"/>
        <w:pBdr>
          <w:bottom w:val="single" w:sz="4" w:space="3" w:color="D0D0D0"/>
        </w:pBdr>
      </w:pPr>
      <w:r>
        <w:rPr>
          <w:rFonts w:ascii="Calibri" w:hAnsi="Calibri"/>
          <w:color w:val="2E86C1"/>
          <w:sz w:val="28"/>
        </w:rPr>
        <w:t xml:space="preserve">■ </w:t>
      </w:r>
      <w:r>
        <w:rPr>
          <w:rFonts w:ascii="Calibri" w:hAnsi="Calibri"/>
          <w:b/>
          <w:color w:val="1B3A5C"/>
          <w:sz w:val="32"/>
        </w:rPr>
        <w:t>6. responsabilidades</w:t>
      </w:r>
    </w:p>
    <w:tbl>
      <w:tblPr>
        <w:tblStyle w:val="TableGrid"/>
        <w:tblW w:type="auto" w:w="0"/>
        <w:jc w:val="left"/>
        <w:tblLook w:firstColumn="1" w:firstRow="1" w:lastColumn="0" w:lastRow="0" w:noHBand="0" w:noVBand="1" w:val="04A0"/>
      </w:tblPr>
      <w:tblGrid>
        <w:gridCol w:w="3135"/>
        <w:gridCol w:w="3135"/>
        <w:gridCol w:w="3135"/>
      </w:tblGrid>
      <w:tr>
        <w:tc>
          <w:tcPr>
            <w:tcW w:type="dxa" w:w="5102"/>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Responsabilidade</w:t>
            </w:r>
          </w:p>
        </w:tc>
        <w:tc>
          <w:tcPr>
            <w:tcW w:type="dxa" w:w="1701"/>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Fornecedor</w:t>
            </w:r>
          </w:p>
        </w:tc>
        <w:tc>
          <w:tcPr>
            <w:tcW w:type="dxa" w:w="2268"/>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Organização cliente</w:t>
            </w:r>
          </w:p>
        </w:tc>
      </w:tr>
      <w:tr>
        <w:tc>
          <w:tcPr>
            <w:tcW w:type="dxa" w:w="5102"/>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Prestação dos serviços conforme âmbito definido</w:t>
            </w:r>
          </w:p>
        </w:tc>
        <w:tc>
          <w:tcPr>
            <w:tcW w:type="dxa" w:w="170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Sim</w:t>
            </w:r>
          </w:p>
        </w:tc>
        <w:tc>
          <w:tcPr>
            <w:tcW w:type="dxa" w:w="2268"/>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r>
          </w:p>
        </w:tc>
      </w:tr>
      <w:tr>
        <w:tc>
          <w:tcPr>
            <w:tcW w:type="dxa" w:w="5102"/>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Disponibilização de infraestrutura base de suporte</w:t>
            </w:r>
          </w:p>
        </w:tc>
        <w:tc>
          <w:tcPr>
            <w:tcW w:type="dxa" w:w="1701"/>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Sim</w:t>
            </w:r>
          </w:p>
        </w:tc>
        <w:tc>
          <w:tcPr>
            <w:tcW w:type="dxa" w:w="2268"/>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r>
          </w:p>
        </w:tc>
      </w:tr>
      <w:tr>
        <w:tc>
          <w:tcPr>
            <w:tcW w:type="dxa" w:w="5102"/>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Fornecimento de acesso aos sistemas (contas, VPN)</w:t>
            </w:r>
          </w:p>
        </w:tc>
        <w:tc>
          <w:tcPr>
            <w:tcW w:type="dxa" w:w="170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r>
          </w:p>
        </w:tc>
        <w:tc>
          <w:tcPr>
            <w:tcW w:type="dxa" w:w="2268"/>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Sim</w:t>
            </w:r>
          </w:p>
        </w:tc>
      </w:tr>
      <w:tr>
        <w:tc>
          <w:tcPr>
            <w:tcW w:type="dxa" w:w="5102"/>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Aprovação de janelas de manutenção</w:t>
            </w:r>
          </w:p>
        </w:tc>
        <w:tc>
          <w:tcPr>
            <w:tcW w:type="dxa" w:w="1701"/>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r>
          </w:p>
        </w:tc>
        <w:tc>
          <w:tcPr>
            <w:tcW w:type="dxa" w:w="2268"/>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Sim</w:t>
            </w:r>
          </w:p>
        </w:tc>
      </w:tr>
      <w:tr>
        <w:tc>
          <w:tcPr>
            <w:tcW w:type="dxa" w:w="5102"/>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Notificação de alterações que afectem o serviço</w:t>
            </w:r>
          </w:p>
        </w:tc>
        <w:tc>
          <w:tcPr>
            <w:tcW w:type="dxa" w:w="170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Sim</w:t>
            </w:r>
          </w:p>
        </w:tc>
        <w:tc>
          <w:tcPr>
            <w:tcW w:type="dxa" w:w="2268"/>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Sim</w:t>
            </w:r>
          </w:p>
        </w:tc>
      </w:tr>
      <w:tr>
        <w:tc>
          <w:tcPr>
            <w:tcW w:type="dxa" w:w="5102"/>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Gestão de escalamentos internos</w:t>
            </w:r>
          </w:p>
        </w:tc>
        <w:tc>
          <w:tcPr>
            <w:tcW w:type="dxa" w:w="1701"/>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Sim</w:t>
            </w:r>
          </w:p>
        </w:tc>
        <w:tc>
          <w:tcPr>
            <w:tcW w:type="dxa" w:w="2268"/>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Sim</w:t>
            </w:r>
          </w:p>
        </w:tc>
      </w:tr>
      <w:tr>
        <w:tc>
          <w:tcPr>
            <w:tcW w:type="dxa" w:w="5102"/>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Relatórios mensais de desempenho</w:t>
            </w:r>
          </w:p>
        </w:tc>
        <w:tc>
          <w:tcPr>
            <w:tcW w:type="dxa" w:w="170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Sim</w:t>
            </w:r>
          </w:p>
        </w:tc>
        <w:tc>
          <w:tcPr>
            <w:tcW w:type="dxa" w:w="2268"/>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r>
          </w:p>
        </w:tc>
      </w:tr>
      <w:tr>
        <w:tc>
          <w:tcPr>
            <w:tcW w:type="dxa" w:w="5102"/>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Revisão trimestral de contrato</w:t>
            </w:r>
          </w:p>
        </w:tc>
        <w:tc>
          <w:tcPr>
            <w:tcW w:type="dxa" w:w="1701"/>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Sim</w:t>
            </w:r>
          </w:p>
        </w:tc>
        <w:tc>
          <w:tcPr>
            <w:tcW w:type="dxa" w:w="2268"/>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Sim</w:t>
            </w:r>
          </w:p>
        </w:tc>
      </w:tr>
      <w:tr>
        <w:tc>
          <w:tcPr>
            <w:tcW w:type="dxa" w:w="5102"/>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Gestão de sub-contratados</w:t>
            </w:r>
          </w:p>
        </w:tc>
        <w:tc>
          <w:tcPr>
            <w:tcW w:type="dxa" w:w="170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Sim</w:t>
            </w:r>
          </w:p>
        </w:tc>
        <w:tc>
          <w:tcPr>
            <w:tcW w:type="dxa" w:w="2268"/>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r>
          </w:p>
        </w:tc>
      </w:tr>
      <w:tr>
        <w:tc>
          <w:tcPr>
            <w:tcW w:type="dxa" w:w="5102"/>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Aprovação de sub-contratados críticos</w:t>
            </w:r>
          </w:p>
        </w:tc>
        <w:tc>
          <w:tcPr>
            <w:tcW w:type="dxa" w:w="1701"/>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r>
          </w:p>
        </w:tc>
        <w:tc>
          <w:tcPr>
            <w:tcW w:type="dxa" w:w="2268"/>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Sim</w:t>
            </w:r>
          </w:p>
        </w:tc>
      </w:tr>
    </w:tbl>
    <w:p>
      <w:pPr>
        <w:spacing w:before="160" w:after="80"/>
      </w:pPr>
    </w:p>
    <w:p>
      <w:pPr>
        <w:spacing w:before="400" w:after="160"/>
        <w:pBdr>
          <w:bottom w:val="single" w:sz="4" w:space="3" w:color="D0D0D0"/>
        </w:pBdr>
      </w:pPr>
      <w:r>
        <w:rPr>
          <w:rFonts w:ascii="Calibri" w:hAnsi="Calibri"/>
          <w:color w:val="2E86C1"/>
          <w:sz w:val="28"/>
        </w:rPr>
        <w:t xml:space="preserve">■ </w:t>
      </w:r>
      <w:r>
        <w:rPr>
          <w:rFonts w:ascii="Calibri" w:hAnsi="Calibri"/>
          <w:b/>
          <w:color w:val="1B3A5C"/>
          <w:sz w:val="32"/>
        </w:rPr>
        <w:t>7. Gestão e Governance</w:t>
      </w:r>
    </w:p>
    <w:p>
      <w:pPr>
        <w:spacing w:before="320" w:after="160"/>
        <w:pBdr>
          <w:left w:val="single" w:sz="12" w:space="8" w:color="2E86C1"/>
        </w:pBdr>
      </w:pPr>
      <w:r>
        <w:rPr>
          <w:rFonts w:ascii="Calibri" w:hAnsi="Calibri"/>
          <w:b/>
          <w:color w:val="1B3A5C"/>
          <w:sz w:val="28"/>
        </w:rPr>
        <w:t>7.1 Reuniões de Revisão</w:t>
      </w:r>
    </w:p>
    <w:tbl>
      <w:tblPr>
        <w:tblStyle w:val="TableGrid"/>
        <w:tblW w:type="auto" w:w="0"/>
        <w:jc w:val="left"/>
        <w:tblLook w:firstColumn="1" w:firstRow="1" w:lastColumn="0" w:lastRow="0" w:noHBand="0" w:noVBand="1" w:val="04A0"/>
      </w:tblPr>
      <w:tblGrid>
        <w:gridCol w:w="2351"/>
        <w:gridCol w:w="2351"/>
        <w:gridCol w:w="2351"/>
        <w:gridCol w:w="2351"/>
      </w:tblGrid>
      <w:tr>
        <w:tc>
          <w:tcPr>
            <w:tcW w:type="dxa" w:w="2551"/>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Tipo de Reunião</w:t>
            </w:r>
          </w:p>
        </w:tc>
        <w:tc>
          <w:tcPr>
            <w:tcW w:type="dxa" w:w="1701"/>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Frequência</w:t>
            </w:r>
          </w:p>
        </w:tc>
        <w:tc>
          <w:tcPr>
            <w:tcW w:type="dxa" w:w="3402"/>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Participantes</w:t>
            </w:r>
          </w:p>
        </w:tc>
        <w:tc>
          <w:tcPr>
            <w:tcW w:type="dxa" w:w="3402"/>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Âmbito</w:t>
            </w:r>
          </w:p>
        </w:tc>
      </w:tr>
      <w:tr>
        <w:tc>
          <w:tcPr>
            <w:tcW w:type="dxa" w:w="255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Revisão operacional</w:t>
            </w:r>
          </w:p>
        </w:tc>
        <w:tc>
          <w:tcPr>
            <w:tcW w:type="dxa" w:w="170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Mensal</w:t>
            </w:r>
          </w:p>
        </w:tc>
        <w:tc>
          <w:tcPr>
            <w:tcW w:type="dxa" w:w="3402"/>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Gestor de conta (fornecedor), gestor do contrato (cliente)</w:t>
            </w:r>
          </w:p>
        </w:tc>
        <w:tc>
          <w:tcPr>
            <w:tcW w:type="dxa" w:w="3402"/>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Análise de métricas, incidentes, pedidos em aberto</w:t>
            </w:r>
          </w:p>
        </w:tc>
      </w:tr>
      <w:tr>
        <w:tc>
          <w:tcPr>
            <w:tcW w:type="dxa" w:w="2551"/>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Revisão estratégica</w:t>
            </w:r>
          </w:p>
        </w:tc>
        <w:tc>
          <w:tcPr>
            <w:tcW w:type="dxa" w:w="1701"/>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Trimestral</w:t>
            </w:r>
          </w:p>
        </w:tc>
        <w:tc>
          <w:tcPr>
            <w:tcW w:type="dxa" w:w="3402"/>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Director TI (cliente), account manager (fornecedor)</w:t>
            </w:r>
          </w:p>
        </w:tc>
        <w:tc>
          <w:tcPr>
            <w:tcW w:type="dxa" w:w="3402"/>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Desempenho global, roadmap, renovação, melhoria contínua</w:t>
            </w:r>
          </w:p>
        </w:tc>
      </w:tr>
    </w:tbl>
    <w:p>
      <w:pPr>
        <w:spacing w:before="160" w:after="80"/>
      </w:pPr>
    </w:p>
    <w:p>
      <w:pPr>
        <w:spacing w:before="320" w:after="160"/>
        <w:pBdr>
          <w:left w:val="single" w:sz="12" w:space="8" w:color="2E86C1"/>
        </w:pBdr>
      </w:pPr>
      <w:r>
        <w:rPr>
          <w:rFonts w:ascii="Calibri" w:hAnsi="Calibri"/>
          <w:b/>
          <w:color w:val="1B3A5C"/>
          <w:sz w:val="28"/>
        </w:rPr>
        <w:t>7.2 escalamento</w:t>
      </w:r>
    </w:p>
    <w:tbl>
      <w:tblPr>
        <w:tblStyle w:val="TableGrid"/>
        <w:tblW w:type="auto" w:w="0"/>
        <w:jc w:val="left"/>
        <w:tblLook w:firstColumn="1" w:firstRow="1" w:lastColumn="0" w:lastRow="0" w:noHBand="0" w:noVBand="1" w:val="04A0"/>
      </w:tblPr>
      <w:tblGrid>
        <w:gridCol w:w="2351"/>
        <w:gridCol w:w="2351"/>
        <w:gridCol w:w="2351"/>
        <w:gridCol w:w="2351"/>
      </w:tblGrid>
      <w:tr>
        <w:tc>
          <w:tcPr>
            <w:tcW w:type="dxa" w:w="1701"/>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Nível</w:t>
            </w:r>
          </w:p>
        </w:tc>
        <w:tc>
          <w:tcPr>
            <w:tcW w:type="dxa" w:w="3402"/>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Motivo</w:t>
            </w:r>
          </w:p>
        </w:tc>
        <w:tc>
          <w:tcPr>
            <w:tcW w:type="dxa" w:w="2268"/>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Contacto fornecedor</w:t>
            </w:r>
          </w:p>
        </w:tc>
        <w:tc>
          <w:tcPr>
            <w:tcW w:type="dxa" w:w="2268"/>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Contacto cliente</w:t>
            </w:r>
          </w:p>
        </w:tc>
      </w:tr>
      <w:tr>
        <w:tc>
          <w:tcPr>
            <w:tcW w:type="dxa" w:w="170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Operacional</w:t>
            </w:r>
          </w:p>
        </w:tc>
        <w:tc>
          <w:tcPr>
            <w:tcW w:type="dxa" w:w="3402"/>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Incidentes P1/P2 não resolvidos dentro do SLA</w:t>
            </w:r>
          </w:p>
        </w:tc>
        <w:tc>
          <w:tcPr>
            <w:tcW w:type="dxa" w:w="2268"/>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c>
          <w:tcPr>
            <w:tcW w:type="dxa" w:w="2268"/>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r>
      <w:tr>
        <w:tc>
          <w:tcPr>
            <w:tcW w:type="dxa" w:w="1701"/>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Gestão</w:t>
            </w:r>
          </w:p>
        </w:tc>
        <w:tc>
          <w:tcPr>
            <w:tcW w:type="dxa" w:w="3402"/>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Incumprimento recorrente ou impacto no negócio</w:t>
            </w:r>
          </w:p>
        </w:tc>
        <w:tc>
          <w:tcPr>
            <w:tcW w:type="dxa" w:w="2268"/>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c>
          <w:tcPr>
            <w:tcW w:type="dxa" w:w="2268"/>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r>
      <w:tr>
        <w:tc>
          <w:tcPr>
            <w:tcW w:type="dxa" w:w="170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Direcção</w:t>
            </w:r>
          </w:p>
        </w:tc>
        <w:tc>
          <w:tcPr>
            <w:tcW w:type="dxa" w:w="3402"/>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Incumprimento grave ou falha de contrato</w:t>
            </w:r>
          </w:p>
        </w:tc>
        <w:tc>
          <w:tcPr>
            <w:tcW w:type="dxa" w:w="2268"/>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c>
          <w:tcPr>
            <w:tcW w:type="dxa" w:w="2268"/>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r>
    </w:tbl>
    <w:p>
      <w:pPr>
        <w:spacing w:before="160" w:after="80"/>
      </w:pPr>
    </w:p>
    <w:p>
      <w:pPr>
        <w:spacing w:before="400" w:after="160"/>
        <w:pBdr>
          <w:bottom w:val="single" w:sz="4" w:space="3" w:color="D0D0D0"/>
        </w:pBdr>
      </w:pPr>
      <w:r>
        <w:rPr>
          <w:rFonts w:ascii="Calibri" w:hAnsi="Calibri"/>
          <w:color w:val="2E86C1"/>
          <w:sz w:val="28"/>
        </w:rPr>
        <w:t xml:space="preserve">■ </w:t>
      </w:r>
      <w:r>
        <w:rPr>
          <w:rFonts w:ascii="Calibri" w:hAnsi="Calibri"/>
          <w:b/>
          <w:color w:val="1B3A5C"/>
          <w:sz w:val="32"/>
        </w:rPr>
        <w:t>8. termos financeiros</w:t>
      </w:r>
    </w:p>
    <w:tbl>
      <w:tblPr>
        <w:tblStyle w:val="TableGrid"/>
        <w:tblW w:type="auto" w:w="0"/>
        <w:jc w:val="left"/>
        <w:tblLook w:firstColumn="1" w:firstRow="1" w:lastColumn="0" w:lastRow="0" w:noHBand="0" w:noVBand="1" w:val="04A0"/>
      </w:tblPr>
      <w:tblGrid>
        <w:gridCol w:w="2351"/>
        <w:gridCol w:w="2351"/>
        <w:gridCol w:w="2351"/>
        <w:gridCol w:w="2351"/>
      </w:tblGrid>
      <w:tr>
        <w:tc>
          <w:tcPr>
            <w:tcW w:type="dxa" w:w="3118"/>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Serviço / componente</w:t>
            </w:r>
          </w:p>
        </w:tc>
        <w:tc>
          <w:tcPr>
            <w:tcW w:type="dxa" w:w="1701"/>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Valor (€)</w:t>
            </w:r>
          </w:p>
        </w:tc>
        <w:tc>
          <w:tcPr>
            <w:tcW w:type="dxa" w:w="1984"/>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Periodicidade</w:t>
            </w:r>
          </w:p>
        </w:tc>
        <w:tc>
          <w:tcPr>
            <w:tcW w:type="dxa" w:w="3402"/>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Condições de pagamento</w:t>
            </w:r>
          </w:p>
        </w:tc>
      </w:tr>
      <w:tr>
        <w:tc>
          <w:tcPr>
            <w:tcW w:type="dxa" w:w="3118"/>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 — serviço base]</w:t>
            </w:r>
          </w:p>
        </w:tc>
        <w:tc>
          <w:tcPr>
            <w:tcW w:type="dxa" w:w="170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c>
          <w:tcPr>
            <w:tcW w:type="dxa" w:w="1984"/>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Mensal</w:t>
            </w:r>
          </w:p>
        </w:tc>
        <w:tc>
          <w:tcPr>
            <w:tcW w:type="dxa" w:w="3402"/>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 — ex: 30 dias após factura]</w:t>
            </w:r>
          </w:p>
        </w:tc>
      </w:tr>
      <w:tr>
        <w:tc>
          <w:tcPr>
            <w:tcW w:type="dxa" w:w="3118"/>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 — suporte adicional]</w:t>
            </w:r>
          </w:p>
        </w:tc>
        <w:tc>
          <w:tcPr>
            <w:tcW w:type="dxa" w:w="1701"/>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c>
          <w:tcPr>
            <w:tcW w:type="dxa" w:w="1984"/>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Mensal</w:t>
            </w:r>
          </w:p>
        </w:tc>
        <w:tc>
          <w:tcPr>
            <w:tcW w:type="dxa" w:w="3402"/>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r>
      <w:tr>
        <w:tc>
          <w:tcPr>
            <w:tcW w:type="dxa" w:w="3118"/>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 — licenças]</w:t>
            </w:r>
          </w:p>
        </w:tc>
        <w:tc>
          <w:tcPr>
            <w:tcW w:type="dxa" w:w="170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c>
          <w:tcPr>
            <w:tcW w:type="dxa" w:w="1984"/>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Anual</w:t>
            </w:r>
          </w:p>
        </w:tc>
        <w:tc>
          <w:tcPr>
            <w:tcW w:type="dxa" w:w="3402"/>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r>
      <w:tr>
        <w:tc>
          <w:tcPr>
            <w:tcW w:type="dxa" w:w="3118"/>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Penalizações por SLA</w:t>
            </w:r>
          </w:p>
        </w:tc>
        <w:tc>
          <w:tcPr>
            <w:tcW w:type="dxa" w:w="1701"/>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Conforme cláusula 5</w:t>
            </w:r>
          </w:p>
        </w:tc>
        <w:tc>
          <w:tcPr>
            <w:tcW w:type="dxa" w:w="1984"/>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Mensal (quando aplicável)</w:t>
            </w:r>
          </w:p>
        </w:tc>
        <w:tc>
          <w:tcPr>
            <w:tcW w:type="dxa" w:w="3402"/>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Dedução na factura seguinte</w:t>
            </w:r>
          </w:p>
        </w:tc>
      </w:tr>
    </w:tbl>
    <w:p>
      <w:pPr>
        <w:spacing w:before="160" w:after="80"/>
      </w:pPr>
    </w:p>
    <w:p>
      <w:pPr>
        <w:spacing w:before="400" w:after="160"/>
        <w:pBdr>
          <w:bottom w:val="single" w:sz="4" w:space="3" w:color="D0D0D0"/>
        </w:pBdr>
      </w:pPr>
      <w:r>
        <w:rPr>
          <w:rFonts w:ascii="Calibri" w:hAnsi="Calibri"/>
          <w:color w:val="2E86C1"/>
          <w:sz w:val="28"/>
        </w:rPr>
        <w:t xml:space="preserve">■ </w:t>
      </w:r>
      <w:r>
        <w:rPr>
          <w:rFonts w:ascii="Calibri" w:hAnsi="Calibri"/>
          <w:b/>
          <w:color w:val="1B3A5C"/>
          <w:sz w:val="32"/>
        </w:rPr>
        <w:t>9. duração e renovação</w:t>
      </w:r>
    </w:p>
    <w:tbl>
      <w:tblPr>
        <w:tblStyle w:val="TableGrid"/>
        <w:tblW w:type="auto" w:w="0"/>
        <w:jc w:val="left"/>
        <w:tblLook w:firstColumn="1" w:firstRow="1" w:lastColumn="0" w:lastRow="0" w:noHBand="0" w:noVBand="1" w:val="04A0"/>
      </w:tblPr>
      <w:tblGrid>
        <w:gridCol w:w="4703"/>
        <w:gridCol w:w="4703"/>
      </w:tblGrid>
      <w:tr>
        <w:tc>
          <w:tcPr>
            <w:tcW w:type="dxa" w:w="3402"/>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Campo</w:t>
            </w:r>
          </w:p>
        </w:tc>
        <w:tc>
          <w:tcPr>
            <w:tcW w:type="dxa" w:w="6236"/>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Valor</w:t>
            </w:r>
          </w:p>
        </w:tc>
      </w:tr>
      <w:tr>
        <w:tc>
          <w:tcPr>
            <w:tcW w:type="dxa" w:w="3402"/>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b/>
                <w:color w:val="333333"/>
                <w:sz w:val="20"/>
              </w:rPr>
              <w:t>Data de início</w:t>
            </w:r>
          </w:p>
        </w:tc>
        <w:tc>
          <w:tcPr>
            <w:tcW w:type="dxa" w:w="6236"/>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[DD/MM/AAAA]</w:t>
            </w:r>
          </w:p>
        </w:tc>
      </w:tr>
      <w:tr>
        <w:tc>
          <w:tcPr>
            <w:tcW w:type="dxa" w:w="3402"/>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b/>
                <w:color w:val="333333"/>
                <w:sz w:val="20"/>
              </w:rPr>
              <w:t>Data de fim</w:t>
            </w:r>
          </w:p>
        </w:tc>
        <w:tc>
          <w:tcPr>
            <w:tcW w:type="dxa" w:w="6236"/>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[DD/MM/AAAA]</w:t>
            </w:r>
          </w:p>
        </w:tc>
      </w:tr>
      <w:tr>
        <w:tc>
          <w:tcPr>
            <w:tcW w:type="dxa" w:w="3402"/>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b/>
                <w:color w:val="333333"/>
                <w:sz w:val="20"/>
              </w:rPr>
              <w:t>Duração inicial</w:t>
            </w:r>
          </w:p>
        </w:tc>
        <w:tc>
          <w:tcPr>
            <w:tcW w:type="dxa" w:w="6236"/>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 — ex: 24 meses]</w:t>
            </w:r>
          </w:p>
        </w:tc>
      </w:tr>
      <w:tr>
        <w:tc>
          <w:tcPr>
            <w:tcW w:type="dxa" w:w="3402"/>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b/>
                <w:color w:val="333333"/>
                <w:sz w:val="20"/>
              </w:rPr>
              <w:t>Renovação automática</w:t>
            </w:r>
          </w:p>
        </w:tc>
        <w:tc>
          <w:tcPr>
            <w:tcW w:type="dxa" w:w="6236"/>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[Seleccionar: sim / não]</w:t>
            </w:r>
          </w:p>
        </w:tc>
      </w:tr>
      <w:tr>
        <w:tc>
          <w:tcPr>
            <w:tcW w:type="dxa" w:w="3402"/>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b/>
                <w:color w:val="333333"/>
                <w:sz w:val="20"/>
              </w:rPr>
              <w:t>Prazo de aviso para não renovação</w:t>
            </w:r>
          </w:p>
        </w:tc>
        <w:tc>
          <w:tcPr>
            <w:tcW w:type="dxa" w:w="6236"/>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 — ex: 90 dias antes do fim]</w:t>
            </w:r>
          </w:p>
        </w:tc>
      </w:tr>
      <w:tr>
        <w:tc>
          <w:tcPr>
            <w:tcW w:type="dxa" w:w="3402"/>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b/>
                <w:color w:val="333333"/>
                <w:sz w:val="20"/>
              </w:rPr>
              <w:t>Condições de rescisão antecipada</w:t>
            </w:r>
          </w:p>
        </w:tc>
        <w:tc>
          <w:tcPr>
            <w:tcW w:type="dxa" w:w="6236"/>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r>
    </w:tbl>
    <w:p>
      <w:pPr>
        <w:spacing w:before="160" w:after="80"/>
      </w:pPr>
    </w:p>
    <w:p>
      <w:pPr>
        <w:spacing w:before="400" w:after="160"/>
        <w:pBdr>
          <w:bottom w:val="single" w:sz="4" w:space="3" w:color="D0D0D0"/>
        </w:pBdr>
      </w:pPr>
      <w:r>
        <w:rPr>
          <w:rFonts w:ascii="Calibri" w:hAnsi="Calibri"/>
          <w:color w:val="2E86C1"/>
          <w:sz w:val="28"/>
        </w:rPr>
        <w:t xml:space="preserve">■ </w:t>
      </w:r>
      <w:r>
        <w:rPr>
          <w:rFonts w:ascii="Calibri" w:hAnsi="Calibri"/>
          <w:b/>
          <w:color w:val="1B3A5C"/>
          <w:sz w:val="32"/>
        </w:rPr>
        <w:t>10. resolução de conflitos</w:t>
      </w:r>
    </w:p>
    <w:p>
      <w:pPr>
        <w:spacing w:before="120" w:after="60"/>
      </w:pPr>
      <w:r>
        <w:rPr>
          <w:rFonts w:ascii="Calibri" w:hAnsi="Calibri"/>
          <w:sz w:val="22"/>
        </w:rPr>
        <w:t>Em caso de litígio, as partes comprometem-se a tentar a resolução amigável no prazo de 30 dias após notificação escrita. Não sendo possível a resolução amigável, o conflito será submetido ao tribunal competente da comarca de [Preencher], nos termos da lei portuguesa.</w:t>
      </w:r>
    </w:p>
    <w:p>
      <w:pPr>
        <w:spacing w:before="400" w:after="160"/>
        <w:pBdr>
          <w:bottom w:val="single" w:sz="4" w:space="3" w:color="D0D0D0"/>
        </w:pBdr>
      </w:pPr>
      <w:r>
        <w:rPr>
          <w:rFonts w:ascii="Calibri" w:hAnsi="Calibri"/>
          <w:color w:val="2E86C1"/>
          <w:sz w:val="28"/>
        </w:rPr>
        <w:t xml:space="preserve">■ </w:t>
      </w:r>
      <w:r>
        <w:rPr>
          <w:rFonts w:ascii="Calibri" w:hAnsi="Calibri"/>
          <w:b/>
          <w:color w:val="1B3A5C"/>
          <w:sz w:val="32"/>
        </w:rPr>
        <w:t>11. Confidencialidade e RGPD</w:t>
      </w:r>
    </w:p>
    <w:p>
      <w:pPr>
        <w:spacing w:before="120" w:after="60"/>
      </w:pPr>
      <w:r>
        <w:rPr>
          <w:rFonts w:ascii="Calibri" w:hAnsi="Calibri"/>
          <w:sz w:val="22"/>
        </w:rPr>
        <w:t>O Fornecedor compromete-se a manter a mais estrita confidencialidade sobre toda a informação a que tiver acesso no âmbito deste contrato, não a podendo divulgar a terceiros sem autorização escrita prévia da Organização Cliente.</w:t>
      </w:r>
    </w:p>
    <w:p>
      <w:pPr>
        <w:spacing w:before="120" w:after="60"/>
      </w:pPr>
      <w:r>
        <w:rPr>
          <w:rFonts w:ascii="Calibri" w:hAnsi="Calibri"/>
          <w:sz w:val="22"/>
        </w:rPr>
        <w:t>Na medida em que o Fornecedor trate dados pessoais por conta da Organização Cliente, actua como subcontratante para efeitos do RGPD. As condições de tratamento são definidas no Acordo de Processamento de Dados (DPA) em anexo.</w:t>
      </w:r>
    </w:p>
    <w:p>
      <w:pPr>
        <w:spacing w:before="400" w:after="160"/>
        <w:pBdr>
          <w:bottom w:val="single" w:sz="4" w:space="3" w:color="D0D0D0"/>
        </w:pBdr>
      </w:pPr>
      <w:r>
        <w:rPr>
          <w:rFonts w:ascii="Calibri" w:hAnsi="Calibri"/>
          <w:color w:val="2E86C1"/>
          <w:sz w:val="28"/>
        </w:rPr>
        <w:t xml:space="preserve">■ </w:t>
      </w:r>
      <w:r>
        <w:rPr>
          <w:rFonts w:ascii="Calibri" w:hAnsi="Calibri"/>
          <w:b/>
          <w:color w:val="1B3A5C"/>
          <w:sz w:val="32"/>
        </w:rPr>
        <w:t>12. Assinaturas</w:t>
      </w:r>
    </w:p>
    <w:tbl>
      <w:tblPr>
        <w:tblStyle w:val="TableGrid"/>
        <w:tblW w:type="auto" w:w="0"/>
        <w:jc w:val="left"/>
        <w:tblLook w:firstColumn="1" w:firstRow="1" w:lastColumn="0" w:lastRow="0" w:noHBand="0" w:noVBand="1" w:val="04A0"/>
      </w:tblPr>
      <w:tblGrid>
        <w:gridCol w:w="3135"/>
        <w:gridCol w:w="3135"/>
        <w:gridCol w:w="3135"/>
      </w:tblGrid>
      <w:tr>
        <w:tc>
          <w:tcPr>
            <w:tcW w:type="dxa" w:w="1701"/>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r>
          </w:p>
        </w:tc>
        <w:tc>
          <w:tcPr>
            <w:tcW w:type="dxa" w:w="3969"/>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Organização cliente</w:t>
            </w:r>
          </w:p>
        </w:tc>
        <w:tc>
          <w:tcPr>
            <w:tcW w:type="dxa" w:w="3969"/>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Fornecedor</w:t>
            </w:r>
          </w:p>
        </w:tc>
      </w:tr>
      <w:tr>
        <w:tc>
          <w:tcPr>
            <w:tcW w:type="dxa" w:w="170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Nome</w:t>
            </w:r>
          </w:p>
        </w:tc>
        <w:tc>
          <w:tcPr>
            <w:tcW w:type="dxa" w:w="3969"/>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c>
          <w:tcPr>
            <w:tcW w:type="dxa" w:w="3969"/>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r>
      <w:tr>
        <w:tc>
          <w:tcPr>
            <w:tcW w:type="dxa" w:w="1701"/>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Cargo</w:t>
            </w:r>
          </w:p>
        </w:tc>
        <w:tc>
          <w:tcPr>
            <w:tcW w:type="dxa" w:w="3969"/>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c>
          <w:tcPr>
            <w:tcW w:type="dxa" w:w="3969"/>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r>
      <w:tr>
        <w:tc>
          <w:tcPr>
            <w:tcW w:type="dxa" w:w="170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Data</w:t>
            </w:r>
          </w:p>
        </w:tc>
        <w:tc>
          <w:tcPr>
            <w:tcW w:type="dxa" w:w="3969"/>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[DD/MM/AAAA]</w:t>
            </w:r>
          </w:p>
        </w:tc>
        <w:tc>
          <w:tcPr>
            <w:tcW w:type="dxa" w:w="3969"/>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[DD/MM/AAAA]</w:t>
            </w:r>
          </w:p>
        </w:tc>
      </w:tr>
      <w:tr>
        <w:tc>
          <w:tcPr>
            <w:tcW w:type="dxa" w:w="1701"/>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Assinatura</w:t>
            </w:r>
          </w:p>
        </w:tc>
        <w:tc>
          <w:tcPr>
            <w:tcW w:type="dxa" w:w="3969"/>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br/>
              <w:br/>
              <w:br/>
            </w:r>
          </w:p>
        </w:tc>
        <w:tc>
          <w:tcPr>
            <w:tcW w:type="dxa" w:w="3969"/>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br/>
              <w:br/>
              <w:br/>
            </w:r>
          </w:p>
        </w:tc>
      </w:tr>
    </w:tbl>
    <w:p>
      <w:pPr>
        <w:spacing w:before="160" w:after="80"/>
      </w:pPr>
    </w:p>
    <w:p>
      <w:r>
        <w:br w:type="page"/>
      </w:r>
    </w:p>
    <w:p>
      <w:pPr>
        <w:spacing w:before="400" w:after="160"/>
        <w:pBdr>
          <w:bottom w:val="single" w:sz="4" w:space="3" w:color="D0D0D0"/>
        </w:pBdr>
      </w:pPr>
      <w:r>
        <w:rPr>
          <w:rFonts w:ascii="Calibri" w:hAnsi="Calibri"/>
          <w:color w:val="2E86C1"/>
          <w:sz w:val="28"/>
        </w:rPr>
        <w:t xml:space="preserve">■ </w:t>
      </w:r>
      <w:r>
        <w:rPr>
          <w:rFonts w:ascii="Calibri" w:hAnsi="Calibri"/>
          <w:b/>
          <w:color w:val="1B3A5C"/>
          <w:sz w:val="32"/>
        </w:rPr>
        <w:t>Controlo do documento</w:t>
      </w:r>
    </w:p>
    <w:p>
      <w:pPr>
        <w:shd w:val="clear" w:color="auto" w:fill="E8F0FE"/>
        <w:pBdr>
          <w:left w:val="single" w:sz="18" w:space="8" w:color="1B3A5C"/>
        </w:pBdr>
        <w:spacing w:before="160" w:after="160"/>
        <w:ind w:left="284" w:right="284"/>
      </w:pPr>
      <w:r>
        <w:rPr>
          <w:rFonts w:ascii="Calibri" w:hAnsi="Calibri"/>
          <w:b/>
          <w:color w:val="1B3A5C"/>
          <w:sz w:val="20"/>
        </w:rPr>
        <w:t xml:space="preserve">NOTA: </w:t>
      </w:r>
      <w:r>
        <w:rPr>
          <w:rFonts w:ascii="Calibri" w:hAnsi="Calibri"/>
          <w:color w:val="333333"/>
          <w:sz w:val="20"/>
        </w:rPr>
        <w:t>Esta secção deve ser actualizada sempre que o documento for revisto ou aprovado. mantenha um registo rigoroso de todas as versões.</w:t>
      </w:r>
    </w:p>
    <w:p>
      <w:pPr>
        <w:spacing w:before="320" w:after="160"/>
        <w:pBdr>
          <w:left w:val="single" w:sz="12" w:space="8" w:color="2E86C1"/>
        </w:pBdr>
      </w:pPr>
      <w:r>
        <w:rPr>
          <w:rFonts w:ascii="Calibri" w:hAnsi="Calibri"/>
          <w:b/>
          <w:color w:val="1B3A5C"/>
          <w:sz w:val="28"/>
        </w:rPr>
        <w:t>Histórico de versões</w:t>
      </w:r>
    </w:p>
    <w:tbl>
      <w:tblPr>
        <w:tblStyle w:val="TableGrid"/>
        <w:tblW w:type="auto" w:w="0"/>
        <w:jc w:val="left"/>
        <w:tblLook w:firstColumn="1" w:firstRow="1" w:lastColumn="0" w:lastRow="0" w:noHBand="0" w:noVBand="1" w:val="04A0"/>
      </w:tblPr>
      <w:tblGrid>
        <w:gridCol w:w="1881"/>
        <w:gridCol w:w="1881"/>
        <w:gridCol w:w="1881"/>
        <w:gridCol w:w="1881"/>
        <w:gridCol w:w="1881"/>
      </w:tblGrid>
      <w:tr>
        <w:tc>
          <w:tcPr>
            <w:tcW w:type="dxa" w:w="1881"/>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Versão</w:t>
            </w:r>
          </w:p>
        </w:tc>
        <w:tc>
          <w:tcPr>
            <w:tcW w:type="dxa" w:w="1881"/>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Data</w:t>
            </w:r>
          </w:p>
        </w:tc>
        <w:tc>
          <w:tcPr>
            <w:tcW w:type="dxa" w:w="1881"/>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Autor</w:t>
            </w:r>
          </w:p>
        </w:tc>
        <w:tc>
          <w:tcPr>
            <w:tcW w:type="dxa" w:w="1881"/>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Alterações realizadas</w:t>
            </w:r>
          </w:p>
        </w:tc>
        <w:tc>
          <w:tcPr>
            <w:tcW w:type="dxa" w:w="1881"/>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Revisto por</w:t>
            </w:r>
          </w:p>
        </w:tc>
      </w:tr>
      <w:tr>
        <w:tc>
          <w:tcPr>
            <w:tcW w:type="dxa" w:w="188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0.1</w:t>
            </w:r>
          </w:p>
        </w:tc>
        <w:tc>
          <w:tcPr>
            <w:tcW w:type="dxa" w:w="188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c>
          <w:tcPr>
            <w:tcW w:type="dxa" w:w="188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c>
          <w:tcPr>
            <w:tcW w:type="dxa" w:w="188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Rascunho inicial</w:t>
            </w:r>
          </w:p>
        </w:tc>
        <w:tc>
          <w:tcPr>
            <w:tcW w:type="dxa" w:w="188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r>
      <w:tr>
        <w:tc>
          <w:tcPr>
            <w:tcW w:type="dxa" w:w="1881"/>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0.2</w:t>
            </w:r>
          </w:p>
        </w:tc>
        <w:tc>
          <w:tcPr>
            <w:tcW w:type="dxa" w:w="1881"/>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c>
          <w:tcPr>
            <w:tcW w:type="dxa" w:w="1881"/>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c>
          <w:tcPr>
            <w:tcW w:type="dxa" w:w="1881"/>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c>
          <w:tcPr>
            <w:tcW w:type="dxa" w:w="1881"/>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r>
      <w:tr>
        <w:tc>
          <w:tcPr>
            <w:tcW w:type="dxa" w:w="188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1.0</w:t>
            </w:r>
          </w:p>
        </w:tc>
        <w:tc>
          <w:tcPr>
            <w:tcW w:type="dxa" w:w="188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c>
          <w:tcPr>
            <w:tcW w:type="dxa" w:w="188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c>
          <w:tcPr>
            <w:tcW w:type="dxa" w:w="188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Versão aprovada</w:t>
            </w:r>
          </w:p>
        </w:tc>
        <w:tc>
          <w:tcPr>
            <w:tcW w:type="dxa" w:w="188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r>
      <w:tr>
        <w:tc>
          <w:tcPr>
            <w:tcW w:type="dxa" w:w="1881"/>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r>
          </w:p>
        </w:tc>
        <w:tc>
          <w:tcPr>
            <w:tcW w:type="dxa" w:w="1881"/>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r>
          </w:p>
        </w:tc>
        <w:tc>
          <w:tcPr>
            <w:tcW w:type="dxa" w:w="1881"/>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r>
          </w:p>
        </w:tc>
        <w:tc>
          <w:tcPr>
            <w:tcW w:type="dxa" w:w="1881"/>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r>
          </w:p>
        </w:tc>
        <w:tc>
          <w:tcPr>
            <w:tcW w:type="dxa" w:w="1881"/>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r>
          </w:p>
        </w:tc>
      </w:tr>
      <w:tr>
        <w:tc>
          <w:tcPr>
            <w:tcW w:type="dxa" w:w="188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r>
          </w:p>
        </w:tc>
        <w:tc>
          <w:tcPr>
            <w:tcW w:type="dxa" w:w="188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r>
          </w:p>
        </w:tc>
        <w:tc>
          <w:tcPr>
            <w:tcW w:type="dxa" w:w="188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r>
          </w:p>
        </w:tc>
        <w:tc>
          <w:tcPr>
            <w:tcW w:type="dxa" w:w="188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r>
          </w:p>
        </w:tc>
        <w:tc>
          <w:tcPr>
            <w:tcW w:type="dxa" w:w="188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r>
          </w:p>
        </w:tc>
      </w:tr>
    </w:tbl>
    <w:p>
      <w:pPr>
        <w:spacing w:before="160" w:after="80"/>
      </w:pPr>
    </w:p>
    <w:p>
      <w:pPr>
        <w:spacing w:before="320" w:after="160"/>
        <w:pBdr>
          <w:left w:val="single" w:sz="12" w:space="8" w:color="2E86C1"/>
        </w:pBdr>
      </w:pPr>
      <w:r>
        <w:rPr>
          <w:rFonts w:ascii="Calibri" w:hAnsi="Calibri"/>
          <w:b/>
          <w:color w:val="1B3A5C"/>
          <w:sz w:val="28"/>
        </w:rPr>
        <w:t>Aprovações</w:t>
      </w:r>
    </w:p>
    <w:tbl>
      <w:tblPr>
        <w:tblStyle w:val="TableGrid"/>
        <w:tblW w:type="auto" w:w="0"/>
        <w:jc w:val="left"/>
        <w:tblLook w:firstColumn="1" w:firstRow="1" w:lastColumn="0" w:lastRow="0" w:noHBand="0" w:noVBand="1" w:val="04A0"/>
      </w:tblPr>
      <w:tblGrid>
        <w:gridCol w:w="1881"/>
        <w:gridCol w:w="1881"/>
        <w:gridCol w:w="1881"/>
        <w:gridCol w:w="1881"/>
        <w:gridCol w:w="1881"/>
      </w:tblGrid>
      <w:tr>
        <w:tc>
          <w:tcPr>
            <w:tcW w:type="dxa" w:w="1881"/>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Versão</w:t>
            </w:r>
          </w:p>
        </w:tc>
        <w:tc>
          <w:tcPr>
            <w:tcW w:type="dxa" w:w="1881"/>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Data</w:t>
            </w:r>
          </w:p>
        </w:tc>
        <w:tc>
          <w:tcPr>
            <w:tcW w:type="dxa" w:w="1881"/>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Aprovador</w:t>
            </w:r>
          </w:p>
        </w:tc>
        <w:tc>
          <w:tcPr>
            <w:tcW w:type="dxa" w:w="1881"/>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Cargo / autoridade</w:t>
            </w:r>
          </w:p>
        </w:tc>
        <w:tc>
          <w:tcPr>
            <w:tcW w:type="dxa" w:w="1881"/>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Assinatura</w:t>
            </w:r>
          </w:p>
        </w:tc>
      </w:tr>
      <w:tr>
        <w:tc>
          <w:tcPr>
            <w:tcW w:type="dxa" w:w="188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t>1.0</w:t>
            </w:r>
          </w:p>
        </w:tc>
        <w:tc>
          <w:tcPr>
            <w:tcW w:type="dxa" w:w="188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c>
          <w:tcPr>
            <w:tcW w:type="dxa" w:w="188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c>
          <w:tcPr>
            <w:tcW w:type="dxa" w:w="188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c>
          <w:tcPr>
            <w:tcW w:type="dxa" w:w="188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r>
      <w:tr>
        <w:tc>
          <w:tcPr>
            <w:tcW w:type="dxa" w:w="1881"/>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r>
          </w:p>
        </w:tc>
        <w:tc>
          <w:tcPr>
            <w:tcW w:type="dxa" w:w="1881"/>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r>
          </w:p>
        </w:tc>
        <w:tc>
          <w:tcPr>
            <w:tcW w:type="dxa" w:w="1881"/>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r>
          </w:p>
        </w:tc>
        <w:tc>
          <w:tcPr>
            <w:tcW w:type="dxa" w:w="1881"/>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r>
          </w:p>
        </w:tc>
        <w:tc>
          <w:tcPr>
            <w:tcW w:type="dxa" w:w="1881"/>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r>
          </w:p>
        </w:tc>
      </w:tr>
      <w:tr>
        <w:tc>
          <w:tcPr>
            <w:tcW w:type="dxa" w:w="188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r>
          </w:p>
        </w:tc>
        <w:tc>
          <w:tcPr>
            <w:tcW w:type="dxa" w:w="188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r>
          </w:p>
        </w:tc>
        <w:tc>
          <w:tcPr>
            <w:tcW w:type="dxa" w:w="188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r>
          </w:p>
        </w:tc>
        <w:tc>
          <w:tcPr>
            <w:tcW w:type="dxa" w:w="188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r>
          </w:p>
        </w:tc>
        <w:tc>
          <w:tcPr>
            <w:tcW w:type="dxa" w:w="188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r>
          </w:p>
        </w:tc>
      </w:tr>
    </w:tbl>
    <w:p>
      <w:pPr>
        <w:spacing w:before="160" w:after="80"/>
      </w:pPr>
    </w:p>
    <w:p>
      <w:pPr>
        <w:spacing w:before="320" w:after="160"/>
        <w:pBdr>
          <w:left w:val="single" w:sz="12" w:space="8" w:color="2E86C1"/>
        </w:pBdr>
      </w:pPr>
      <w:r>
        <w:rPr>
          <w:rFonts w:ascii="Calibri" w:hAnsi="Calibri"/>
          <w:b/>
          <w:color w:val="1B3A5C"/>
          <w:sz w:val="28"/>
        </w:rPr>
        <w:t>Lista de Distribuição</w:t>
      </w:r>
    </w:p>
    <w:tbl>
      <w:tblPr>
        <w:tblStyle w:val="TableGrid"/>
        <w:tblW w:type="auto" w:w="0"/>
        <w:jc w:val="left"/>
        <w:tblLook w:firstColumn="1" w:firstRow="1" w:lastColumn="0" w:lastRow="0" w:noHBand="0" w:noVBand="1" w:val="04A0"/>
      </w:tblPr>
      <w:tblGrid>
        <w:gridCol w:w="2351"/>
        <w:gridCol w:w="2351"/>
        <w:gridCol w:w="2351"/>
        <w:gridCol w:w="2351"/>
      </w:tblGrid>
      <w:tr>
        <w:tc>
          <w:tcPr>
            <w:tcW w:type="dxa" w:w="2351"/>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Nome</w:t>
            </w:r>
          </w:p>
        </w:tc>
        <w:tc>
          <w:tcPr>
            <w:tcW w:type="dxa" w:w="2351"/>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Cargo</w:t>
            </w:r>
          </w:p>
        </w:tc>
        <w:tc>
          <w:tcPr>
            <w:tcW w:type="dxa" w:w="2351"/>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Departamento</w:t>
            </w:r>
          </w:p>
        </w:tc>
        <w:tc>
          <w:tcPr>
            <w:tcW w:type="dxa" w:w="2351"/>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Email</w:t>
            </w:r>
          </w:p>
        </w:tc>
      </w:tr>
      <w:tr>
        <w:tc>
          <w:tcPr>
            <w:tcW w:type="dxa" w:w="235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c>
          <w:tcPr>
            <w:tcW w:type="dxa" w:w="235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c>
          <w:tcPr>
            <w:tcW w:type="dxa" w:w="235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c>
          <w:tcPr>
            <w:tcW w:type="dxa" w:w="235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r>
      <w:tr>
        <w:tc>
          <w:tcPr>
            <w:tcW w:type="dxa" w:w="2351"/>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c>
          <w:tcPr>
            <w:tcW w:type="dxa" w:w="2351"/>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c>
          <w:tcPr>
            <w:tcW w:type="dxa" w:w="2351"/>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c>
          <w:tcPr>
            <w:tcW w:type="dxa" w:w="2351"/>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r>
      <w:tr>
        <w:tc>
          <w:tcPr>
            <w:tcW w:type="dxa" w:w="235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r>
          </w:p>
        </w:tc>
        <w:tc>
          <w:tcPr>
            <w:tcW w:type="dxa" w:w="235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r>
          </w:p>
        </w:tc>
        <w:tc>
          <w:tcPr>
            <w:tcW w:type="dxa" w:w="235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r>
          </w:p>
        </w:tc>
        <w:tc>
          <w:tcPr>
            <w:tcW w:type="dxa" w:w="2351"/>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color w:val="444444"/>
                <w:sz w:val="20"/>
              </w:rPr>
            </w:r>
          </w:p>
        </w:tc>
      </w:tr>
    </w:tbl>
    <w:p>
      <w:pPr>
        <w:spacing w:before="160" w:after="80"/>
      </w:pPr>
    </w:p>
    <w:p>
      <w:pPr>
        <w:spacing w:before="320" w:after="160"/>
        <w:pBdr>
          <w:left w:val="single" w:sz="12" w:space="8" w:color="2E86C1"/>
        </w:pBdr>
      </w:pPr>
      <w:r>
        <w:rPr>
          <w:rFonts w:ascii="Calibri" w:hAnsi="Calibri"/>
          <w:b/>
          <w:color w:val="1B3A5C"/>
          <w:sz w:val="28"/>
        </w:rPr>
        <w:t>Calendário de Revisão</w:t>
      </w:r>
    </w:p>
    <w:tbl>
      <w:tblPr>
        <w:tblStyle w:val="TableGrid"/>
        <w:tblW w:type="auto" w:w="0"/>
        <w:jc w:val="left"/>
        <w:tblLook w:firstColumn="1" w:firstRow="1" w:lastColumn="0" w:lastRow="0" w:noHBand="0" w:noVBand="1" w:val="04A0"/>
      </w:tblPr>
      <w:tblGrid>
        <w:gridCol w:w="4703"/>
        <w:gridCol w:w="4703"/>
      </w:tblGrid>
      <w:tr>
        <w:tc>
          <w:tcPr>
            <w:tcW w:type="dxa" w:w="4703"/>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Campo</w:t>
            </w:r>
          </w:p>
        </w:tc>
        <w:tc>
          <w:tcPr>
            <w:tcW w:type="dxa" w:w="4703"/>
            <w:shd w:val="clear" w:color="auto" w:fill="1B3A5C"/>
            <w:tcBorders>
              <w:top w:val="single" w:sz="4" w:space="0" w:color="1B3A5C"/>
              <w:left w:val="single" w:sz="4" w:space="0" w:color="1B3A5C"/>
              <w:bottom w:val="single" w:sz="4" w:space="0" w:color="1B3A5C"/>
              <w:right w:val="single" w:sz="4" w:space="0" w:color="1B3A5C"/>
            </w:tcBorders>
            <w:vAlign w:val="center"/>
          </w:tcPr>
          <w:p>
            <w:pPr>
              <w:spacing w:before="100" w:after="100"/>
            </w:pPr>
            <w:r>
              <w:rPr>
                <w:rFonts w:ascii="Calibri" w:hAnsi="Calibri"/>
                <w:b/>
                <w:color w:val="FFFFFF"/>
                <w:sz w:val="20"/>
              </w:rPr>
              <w:t>Valor</w:t>
            </w:r>
          </w:p>
        </w:tc>
      </w:tr>
      <w:tr>
        <w:tc>
          <w:tcPr>
            <w:tcW w:type="dxa" w:w="4703"/>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b/>
                <w:color w:val="333333"/>
                <w:sz w:val="20"/>
              </w:rPr>
              <w:t>Proprietário do documento</w:t>
            </w:r>
          </w:p>
        </w:tc>
        <w:tc>
          <w:tcPr>
            <w:tcW w:type="dxa" w:w="4703"/>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r>
      <w:tr>
        <w:tc>
          <w:tcPr>
            <w:tcW w:type="dxa" w:w="4703"/>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b/>
                <w:color w:val="333333"/>
                <w:sz w:val="20"/>
              </w:rPr>
              <w:t>Próxima revisão agendada</w:t>
            </w:r>
          </w:p>
        </w:tc>
        <w:tc>
          <w:tcPr>
            <w:tcW w:type="dxa" w:w="4703"/>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[DD/MM/AAAA]</w:t>
            </w:r>
          </w:p>
        </w:tc>
      </w:tr>
      <w:tr>
        <w:tc>
          <w:tcPr>
            <w:tcW w:type="dxa" w:w="4703"/>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b/>
                <w:color w:val="333333"/>
                <w:sz w:val="20"/>
              </w:rPr>
              <w:t>Frequência de revisão</w:t>
            </w:r>
          </w:p>
        </w:tc>
        <w:tc>
          <w:tcPr>
            <w:tcW w:type="dxa" w:w="4703"/>
            <w:shd w:val="clear" w:color="auto" w:fill="F5F5F5"/>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[Seleccionar: trimestral / semestral / anual]</w:t>
            </w:r>
          </w:p>
        </w:tc>
      </w:tr>
      <w:tr>
        <w:tc>
          <w:tcPr>
            <w:tcW w:type="dxa" w:w="4703"/>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b/>
                <w:color w:val="333333"/>
                <w:sz w:val="20"/>
              </w:rPr>
              <w:t>Autoridade de revisão</w:t>
            </w:r>
          </w:p>
        </w:tc>
        <w:tc>
          <w:tcPr>
            <w:tcW w:type="dxa" w:w="4703"/>
            <w:shd w:val="clear" w:color="auto" w:fill="FFFFFF"/>
            <w:tcBorders>
              <w:top w:val="single" w:sz="4" w:space="0" w:color="BFBFBF"/>
              <w:left w:val="single" w:sz="4" w:space="0" w:color="BFBFBF"/>
              <w:bottom w:val="single" w:sz="4" w:space="0" w:color="BFBFBF"/>
              <w:right w:val="single" w:sz="4" w:space="0" w:color="BFBFBF"/>
            </w:tcBorders>
            <w:vAlign w:val="center"/>
          </w:tcPr>
          <w:p>
            <w:pPr>
              <w:spacing w:before="80" w:after="80"/>
            </w:pPr>
            <w:r>
              <w:rPr>
                <w:rFonts w:ascii="Calibri" w:hAnsi="Calibri"/>
                <w:i/>
                <w:color w:val="999999"/>
                <w:sz w:val="20"/>
              </w:rPr>
              <w:t>[Preencher]</w:t>
            </w:r>
          </w:p>
        </w:tc>
      </w:tr>
    </w:tbl>
    <w:p>
      <w:pPr>
        <w:spacing w:before="160" w:after="80"/>
      </w:pPr>
    </w:p>
    <w:sectPr w:rsidR="00FC693F" w:rsidRPr="0006063C" w:rsidSect="00034616">
      <w:headerReference w:type="default" r:id="rId9"/>
      <w:footerReference w:type="default" r:id="rId10"/>
      <w:pgSz w:w="12240" w:h="15840"/>
      <w:pgMar w:top="1417" w:right="1417" w:bottom="1417" w:left="1417"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Bdr>
        <w:top w:val="single" w:sz="4" w:space="4" w:color="D0D0D0"/>
      </w:pBdr>
      <w:tabs>
        <w:tab w:val="center" w:pos="4536"/>
        <w:tab w:val="right" w:pos="9072"/>
      </w:tabs>
    </w:pPr>
    <w:r>
      <w:rPr>
        <w:rFonts w:ascii="Calibri" w:hAnsi="Calibri"/>
        <w:color w:val="999999"/>
        <w:sz w:val="14"/>
      </w:rPr>
      <w:t>Better Skills — better-skills.com</w:t>
    </w:r>
    <w:r>
      <w:rPr>
        <w:sz w:val="14"/>
      </w:rPr>
      <w:tab/>
    </w:r>
    <w:r>
      <w:rPr>
        <w:rFonts w:ascii="Calibri" w:hAnsi="Calibri"/>
        <w:b/>
        <w:color w:val="2E86C1"/>
        <w:sz w:val="14"/>
      </w:rPr>
      <w:t>Confidencial</w:t>
    </w:r>
    <w:r>
      <w:rPr>
        <w:sz w:val="14"/>
      </w:rPr>
      <w:tab/>
    </w:r>
    <w:r>
      <w:rPr>
        <w:rFonts w:ascii="Calibri" w:hAnsi="Calibri"/>
        <w:color w:val="999999"/>
        <w:sz w:val="14"/>
      </w:rPr>
      <w:t xml:space="preserve">Página </w:t>
    </w:r>
    <w:r>
      <w:rPr>
        <w:rFonts w:ascii="Calibri" w:hAnsi="Calibri"/>
        <w:color w:val="999999"/>
        <w:sz w:val="14"/>
      </w:rPr>
      <w:fldChar w:fldCharType="begin"/>
      <w:instrText> PAGE </w:instrText>
      <w:fldChar w:fldCharType="end"/>
    </w:r>
    <w:r>
      <w:rPr>
        <w:rFonts w:ascii="Calibri" w:hAnsi="Calibri"/>
        <w:color w:val="999999"/>
        <w:sz w:val="14"/>
      </w:rPr>
      <w:t xml:space="preserve"> de </w:t>
    </w:r>
    <w:r>
      <w:rPr>
        <w:rFonts w:ascii="Calibri" w:hAnsi="Calibri"/>
        <w:color w:val="999999"/>
        <w:sz w:val="14"/>
      </w:rPr>
      <w:fldChar w:fldCharType="begin"/>
      <w:instrText> NUMPAGES </w:instrText>
      <w:fldChar w:fldCharType="end"/>
    </w:r>
  </w:p>
  <w:p>
    <w:pPr>
      <w:jc w:val="center"/>
    </w:pPr>
    <w:r>
      <w:rPr>
        <w:rFonts w:ascii="Calibri" w:hAnsi="Calibri"/>
        <w:i/>
        <w:color w:val="BBBBBB"/>
        <w:sz w:val="14"/>
      </w:rPr>
      <w:t>Baseado nas boas práticas ITIL® 4. ITIL® é marca registada da PeopleCert.</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tabs>
        <w:tab w:val="right" w:pos="9072"/>
      </w:tabs>
      <w:pBdr>
        <w:bottom w:val="single" w:sz="4" w:space="4" w:color="D0D0D0"/>
      </w:pBdr>
    </w:pPr>
    <w:r>
      <w:rPr>
        <w:rFonts w:ascii="Calibri" w:hAnsi="Calibri"/>
        <w:b/>
        <w:color w:val="1B3A5C"/>
        <w:sz w:val="16"/>
      </w:rPr>
      <w:t>Better Skills</w:t>
    </w:r>
    <w:r>
      <w:rPr>
        <w:sz w:val="16"/>
      </w:rPr>
      <w:tab/>
    </w:r>
    <w:r>
      <w:rPr>
        <w:rFonts w:ascii="Calibri" w:hAnsi="Calibri"/>
        <w:i/>
        <w:color w:val="999999"/>
        <w:sz w:val="16"/>
      </w:rPr>
      <w:t>Underpinning contract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