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Modelo de contrato de prestação de serviços de TI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Gestão de fornecedores — supplier management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Formalizar a relação contratual para a prestação de serviços de TI.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âmbito, entregáveis, níveis de serviço e responsabilidades.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condições comerciais, penalidades e mecanismos de resolução.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conformidade com requisitos de segurança e protecção de dados.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https://better-skills.com/supplier-management/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partes contratantes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3969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Contratante</w:t>
            </w:r>
          </w:p>
        </w:tc>
        <w:tc>
          <w:tcPr>
            <w:tcW w:type="dxa" w:w="3969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Prestador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Nome / designação social</w:t>
            </w:r>
          </w:p>
        </w:tc>
        <w:tc>
          <w:tcPr>
            <w:tcW w:type="dxa" w:w="3969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969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NIF / NIPC</w:t>
            </w:r>
          </w:p>
        </w:tc>
        <w:tc>
          <w:tcPr>
            <w:tcW w:type="dxa" w:w="3969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969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Morada</w:t>
            </w:r>
          </w:p>
        </w:tc>
        <w:tc>
          <w:tcPr>
            <w:tcW w:type="dxa" w:w="3969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969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Representante legal</w:t>
            </w:r>
          </w:p>
        </w:tc>
        <w:tc>
          <w:tcPr>
            <w:tcW w:type="dxa" w:w="3969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969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Contacto (email / telefone)</w:t>
            </w:r>
          </w:p>
        </w:tc>
        <w:tc>
          <w:tcPr>
            <w:tcW w:type="dxa" w:w="3969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969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objectivo e âmbito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— descrever o objectivo do contrato e os limites do âmbito dos serviços abrangidos, incluindo exclusões expressas]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serviços a prestar</w:t>
      </w:r>
    </w:p>
    <w:p>
      <w:pPr>
        <w:spacing w:before="120" w:after="60"/>
      </w:pPr>
      <w:r>
        <w:rPr>
          <w:rFonts w:ascii="Calibri" w:hAnsi="Calibri"/>
          <w:sz w:val="22"/>
        </w:rPr>
        <w:t>O prestador compromete-se a fornecer os seguintes serviços: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98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Serviço</w:t>
            </w:r>
          </w:p>
        </w:tc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1417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Frequência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Entregável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Critério de aceitação</w:t>
            </w:r>
          </w:p>
        </w:tc>
      </w:tr>
      <w:tr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níveis de serviço (SLAs)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Indicador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Objectivo</w:t>
            </w:r>
          </w:p>
        </w:tc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Método de medição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Penalidade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Período de reporte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Disponibilidade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≥ 99,5% mensal]</w:t>
            </w:r>
          </w:p>
        </w:tc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Monitorização automática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</w:tr>
      <w:tr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de resposta (P1)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≤ 30 minutos]</w:t>
            </w:r>
          </w:p>
        </w:tc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Registo ITSM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de resolução (P1)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≤ 4 horas]</w:t>
            </w:r>
          </w:p>
        </w:tc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Registo ITSM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</w:tr>
      <w:tr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de resolução (P2)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≤ 8 horas úteis]</w:t>
            </w:r>
          </w:p>
        </w:tc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Registo ITSM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Relatórios de serviço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Até ao 5.º dia útil do mês seguinte</w:t>
            </w:r>
          </w:p>
        </w:tc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Verificação de entrega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preçário e condições de pagamento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Serviço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Modelo preço</w:t>
            </w:r>
          </w:p>
        </w:tc>
        <w:tc>
          <w:tcPr>
            <w:tcW w:type="dxa" w:w="1417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  <w:tc>
          <w:tcPr>
            <w:tcW w:type="dxa" w:w="3969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Condições pagamento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[Fixo / por hora / por utilização]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[€]</w:t>
            </w:r>
          </w:p>
        </w:tc>
        <w:tc>
          <w:tcPr>
            <w:tcW w:type="dxa" w:w="3969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30 dias após factura]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[€]</w:t>
            </w:r>
          </w:p>
        </w:tc>
        <w:tc>
          <w:tcPr>
            <w:tcW w:type="dxa" w:w="3969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[€]</w:t>
            </w:r>
          </w:p>
        </w:tc>
        <w:tc>
          <w:tcPr>
            <w:tcW w:type="dxa" w:w="3969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duração e renovação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3402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623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34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início</w:t>
            </w:r>
          </w:p>
        </w:tc>
        <w:tc>
          <w:tcPr>
            <w:tcW w:type="dxa" w:w="623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3402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Duração</w:t>
            </w:r>
          </w:p>
        </w:tc>
        <w:tc>
          <w:tcPr>
            <w:tcW w:type="dxa" w:w="623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24 meses]</w:t>
            </w:r>
          </w:p>
        </w:tc>
      </w:tr>
      <w:tr>
        <w:tc>
          <w:tcPr>
            <w:tcW w:type="dxa" w:w="34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Renovação automática</w:t>
            </w:r>
          </w:p>
        </w:tc>
        <w:tc>
          <w:tcPr>
            <w:tcW w:type="dxa" w:w="623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sim / não]</w:t>
            </w:r>
          </w:p>
        </w:tc>
      </w:tr>
      <w:tr>
        <w:tc>
          <w:tcPr>
            <w:tcW w:type="dxa" w:w="3402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Aviso prévio de rescisão</w:t>
            </w:r>
          </w:p>
        </w:tc>
        <w:tc>
          <w:tcPr>
            <w:tcW w:type="dxa" w:w="623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90 dias antes do termo]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penalidades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SLA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Threshold</w:t>
            </w:r>
          </w:p>
        </w:tc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Penalidade</w:t>
            </w:r>
          </w:p>
        </w:tc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Limite máximo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Disponibilidade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&lt; 99,5%]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crédito de X%]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10% do valor mensal]</w:t>
            </w:r>
          </w:p>
        </w:tc>
      </w:tr>
      <w:tr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de resposta (P1)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de resolução (P1)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Entrega de relatórios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propriedade intelectual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— descrever a titularidade dos direitos sobre entregáveis, código produzido, documentação e outros activos gerados no âmbito deste contrato. Indicar se existe cedência de direitos, licenciamento ou retenção pelo Prestador]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11. Confidencialidade e Protecção de Dados</w:t>
      </w:r>
    </w:p>
    <w:p>
      <w:pPr>
        <w:spacing w:before="120" w:after="60"/>
      </w:pPr>
      <w:r>
        <w:rPr>
          <w:rFonts w:ascii="Calibri" w:hAnsi="Calibri"/>
          <w:sz w:val="22"/>
        </w:rPr>
        <w:t>O Prestador compromete-se a manter estrita confidencialidade sobre toda a informação a que aceder no âmbito deste contrato, não podendo divulgá-la a terceiros sem autorização escrita prévia do Contratante.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— incluir cláusula de conformidade RGPD, nomeadamente as condições de tratamento de dados pessoais pelo Prestador enquanto subcontratante, com referência ao Acordo de Processamento de Dados (DPA) em anexo se aplicável]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12. Resolução de Conflitos</w:t>
      </w:r>
    </w:p>
    <w:p>
      <w:pPr>
        <w:spacing w:before="120" w:after="60"/>
      </w:pPr>
      <w:r>
        <w:rPr>
          <w:rFonts w:ascii="Calibri" w:hAnsi="Calibri"/>
          <w:sz w:val="22"/>
        </w:rPr>
        <w:t>Em caso de litígio, as partes comprometem-se a tentar resolução amigável no prazo de 30 dias após notificação escrita. Não sendo possível, o conflito será resolvido por tribunal competente na comarca do Contratante, nos termos da legislação portuguesa em vigor.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13. Rescisão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Motivo</w:t>
            </w:r>
          </w:p>
        </w:tc>
        <w:tc>
          <w:tcPr>
            <w:tcW w:type="dxa" w:w="45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Procedimento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Aviso prévio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Rescisão por acordo mútuo</w:t>
            </w:r>
          </w:p>
        </w:tc>
        <w:tc>
          <w:tcPr>
            <w:tcW w:type="dxa" w:w="45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Documento escrito assinado por ambas as partes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N/A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Incumprimento grave pelo Prestador</w:t>
            </w:r>
          </w:p>
        </w:tc>
        <w:tc>
          <w:tcPr>
            <w:tcW w:type="dxa" w:w="45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Notificação escrita com descrição da infracção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15 dias]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Incumprimento grave pelo contratante</w:t>
            </w:r>
          </w:p>
        </w:tc>
        <w:tc>
          <w:tcPr>
            <w:tcW w:type="dxa" w:w="45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Notificação escrita com descrição da infracção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Extinção antecipada sem justa causa</w:t>
            </w:r>
          </w:p>
        </w:tc>
        <w:tc>
          <w:tcPr>
            <w:tcW w:type="dxa" w:w="45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descrever condições e indemnizações]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90 dias]</w:t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Contrato de prestação de serviços TI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