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Pipeline de Vendas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Gestão comercial e vendas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e acompanhar todas as oportunidades comerciais em curso.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Calcular a previsao de receita ponderada por probabilidade de fecho.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estrangulamentos no processo de vendas e oportunidades em risco.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Apoiar a gestao de vendas na priorizacao e na previsao de resultados.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https://better-skills.com/templates/kits/vendas/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Oportunidades em curso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</w:tblGrid>
      <w:tr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Oportunidade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Empresa / Contacto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estimado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 (%)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fecho prevista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Proximo passo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Prospeccao / Qualificacao / Proposta / Negociacao / Fecho]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[Preencher]%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Resumo por fase do pipeline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N.º oportunidades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total (EUR)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 padrao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Previsao ponderada (EUR)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Prospeccao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Qualificacao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25%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Proposta enviada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Negociacao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75%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Fecho previsto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90%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Oportunidades de atencao imediata</w:t>
      </w:r>
    </w:p>
    <w:p>
      <w:pPr>
        <w:spacing w:before="120" w:after="60"/>
      </w:pPr>
      <w:r>
        <w:rPr>
          <w:rFonts w:ascii="Calibri" w:hAnsi="Calibri"/>
          <w:sz w:val="22"/>
        </w:rPr>
        <w:t>Oportunidades em risco ou com data de fecho proxima que requerem accao imediata: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Oportunidade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 identificado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Accao necessaria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Actualize o pipeline pelo menos semanalmente. Uma oportunidade sem actividade registada ha mais de [Preencher] dias deve ser revista pelo gestor de vendas.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Pipeline de Vendas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