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Factura Pro-forma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Finanças e actividade comercial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Emitir uma factura previa sem valor fiscal para efeitos de aprovacao, importacao, financiamento ou abertura de carta de credito.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Detalhar os itens, precos e condicoes de uma transaccao antes da sua concretizacao.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base para a emissao da factura definitiva apos confirmacao da encomenda.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https://better-skills.com/templates/kits/financas-comercial/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Emitente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Designacao social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NIF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Email comercial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Telefone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Destinatario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/ Designacao social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NIF / VAT Number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Morada de facturacao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Morada de entrega (se diferente)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Contacto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Itens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N.º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Quantidade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Unidade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Preco unit. s/IVA (EUR)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Subtotal s/IVA (EUR)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Subtotal s/IVA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IVA 23%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 c/IVA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Condicoes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Moeda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EUR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Condicoes de pagamento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Pagamento antecipado / 30 dias / 60 dias / Carta de credito]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entrega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Incoterms (se aplicavel)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DDP Lisboa]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Validade desta pro-forma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dias a contar de 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Referencia interna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Dados bancarios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Banco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IBAN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BIC / SWIFT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Titular da conta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Este documento e uma factura pro-forma e NAO tem valor fiscal. Nao substitui a factura definitiva, nao serve para efeitos de deduccao de IVA e nao constitui obrigacao de pagamento. A factura definitiva sera emitida apos confirmacao formal da encomenda.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Factura Pro-forma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