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Briefing de Campanha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de forma clara e completa os requisitos de uma campanha de comunicacao ou marketing.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Alinhar a equipa criativa, o cliente interno e os fornecedores sobre os objectivos e restricoes.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documento de referencia durante toda a producao da campanha.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que o resultado final corresponde as expectativas e objectivos definidos.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Identificacao da campanha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/ codigo da campanha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Cliente interno / departamento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Gestor de campanha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briefing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inicio da campanha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fim da campanha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Objectivo e contexto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Objectivo principal da campanha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Notoriedade / Geracao de leads / Vendas / Retencao / Lancamento de produto]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Contexto e motivacao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porque se lanca esta campanha agora?]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Mensagem-chave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a ideia central que queremos transmitir em uma frase]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Call-to-action principal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Saiba mais / Compre ja / Registe-se]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Publico-alvo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Perfil demografico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idade, genero, localizacao, habilitacoes]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Perfil psicografico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valores, estilo de vida, interesses]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Comportamento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habitos de compra, canais preferidos]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Segmento prioritario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Tom e estilo de comunicacao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Dimensao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Opcao escolhida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Tom geral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Formal / Informal / Aspiracional / Tecnico / Emocional / Humoristico]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Voz da marca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atributos da marca a reflectir]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Restricoes criativas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 que NAO deve aparecer ou ser dito]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Referencias visuais de inspiracao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URL]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Canais e formatos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Formato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Dimensoes / Especificacoes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Quantidade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Orcamento e KPIs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Orcamento total aprovado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Orcamento para producao criativa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Orcamento para media/distribuicao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KPI principal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Meta do KPI principal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Ferramentas de medicao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Entregaveis e aprovacoes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Entregavel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Prazo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 pela producao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Conceito criativo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Versoes para aprovacao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Versao final aprovada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Activacao / publicacao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Briefing de Campanha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