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Política de Gestão de Mudanças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Change Enablement Policy — Baseada em ITIL® 4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Estabelecer o framework para a gestão eficaz de mudanças nos serviços de TI.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Definir tipos de mudança, autoridades de aprovação e processos de emergência.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Minimizar o risco de incidentes causados por mudanças mal planeadas.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Garantir rastreabilidade e controlo sobre todas as alterações ao ambiente de produção.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https://better-skills.com/change-enablement/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Âmbito da Política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8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68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Âmbito</w:t>
            </w:r>
          </w:p>
        </w:tc>
        <w:tc>
          <w:tcPr>
            <w:tcW w:type="dxa" w:w="68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Todos os sistemas e serviços de TI em ambiente de produção]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Excepções</w:t>
            </w:r>
          </w:p>
        </w:tc>
        <w:tc>
          <w:tcPr>
            <w:tcW w:type="dxa" w:w="68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alterações de conteúdo sem impacto em infraestrutura]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Ambientes cobertos</w:t>
            </w:r>
          </w:p>
        </w:tc>
        <w:tc>
          <w:tcPr>
            <w:tcW w:type="dxa" w:w="68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Produção / Pré-produção / Desenvolvimento / Todos]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entrada em vigor</w:t>
            </w:r>
          </w:p>
        </w:tc>
        <w:tc>
          <w:tcPr>
            <w:tcW w:type="dxa" w:w="68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Tipos de Mudança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417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Tipo</w:t>
            </w:r>
          </w:p>
        </w:tc>
        <w:tc>
          <w:tcPr>
            <w:tcW w:type="dxa" w:w="28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Descrição</w:t>
            </w:r>
          </w:p>
        </w:tc>
        <w:tc>
          <w:tcPr>
            <w:tcW w:type="dxa" w:w="22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Aprovação</w:t>
            </w:r>
          </w:p>
        </w:tc>
        <w:tc>
          <w:tcPr>
            <w:tcW w:type="dxa" w:w="170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Prazo Mínimo</w:t>
            </w:r>
          </w:p>
        </w:tc>
        <w:tc>
          <w:tcPr>
            <w:tcW w:type="dxa" w:w="28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Exemplo</w:t>
            </w:r>
          </w:p>
        </w:tc>
      </w:tr>
      <w:tr>
        <w:tc>
          <w:tcPr>
            <w:tcW w:type="dxa" w:w="141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Standard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Mudança pré-aprovada, de baixo risco e procedimento documentado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Pré-autorizada — sem aprovação ad hoc necessária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Sem prazo mínimo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Reinício de serviço, update de antivírus, criação de conta standard</w:t>
            </w:r>
          </w:p>
        </w:tc>
      </w:tr>
      <w:tr>
        <w:tc>
          <w:tcPr>
            <w:tcW w:type="dxa" w:w="141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Normal</w:t>
            </w:r>
          </w:p>
        </w:tc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Mudança planeada, avaliada caso a caso quanto a risco e impacto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 de Mudanças (baixo risco) ou CAB (alto risco)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5 dias úteis]</w:t>
            </w:r>
          </w:p>
        </w:tc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Migração de servidor, actualização de aplicação crítica, nova integração</w:t>
            </w:r>
          </w:p>
        </w:tc>
      </w:tr>
      <w:tr>
        <w:tc>
          <w:tcPr>
            <w:tcW w:type="dxa" w:w="141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Emergência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Mudança urgente necessária para restaurar serviço ou prevenir impacto iminente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eCAB (Emergency Change Advisory Board)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O mais rapidamente possível — documentação retroactiva permitida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Patch de segurança crítico, rollback após incidente major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Autoridade de Aprovação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198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Tipo de Mudança</w:t>
            </w:r>
          </w:p>
        </w:tc>
        <w:tc>
          <w:tcPr>
            <w:tcW w:type="dxa" w:w="1417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Risco</w:t>
            </w:r>
          </w:p>
        </w:tc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Autoridade de Aprovação</w:t>
            </w:r>
          </w:p>
        </w:tc>
        <w:tc>
          <w:tcPr>
            <w:tcW w:type="dxa" w:w="4819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Processo</w:t>
            </w:r>
          </w:p>
        </w:tc>
      </w:tr>
      <w:tr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Standard</w:t>
            </w:r>
          </w:p>
        </w:tc>
        <w:tc>
          <w:tcPr>
            <w:tcW w:type="dxa" w:w="141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Baixo</w:t>
            </w:r>
          </w:p>
        </w:tc>
        <w:tc>
          <w:tcPr>
            <w:tcW w:type="dxa" w:w="25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Pré-autorizado</w:t>
            </w:r>
          </w:p>
        </w:tc>
        <w:tc>
          <w:tcPr>
            <w:tcW w:type="dxa" w:w="4819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Registo no sistema ITSM + execução conforme procedimento aprovado</w:t>
            </w:r>
          </w:p>
        </w:tc>
      </w:tr>
      <w:tr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Normal</w:t>
            </w:r>
          </w:p>
        </w:tc>
        <w:tc>
          <w:tcPr>
            <w:tcW w:type="dxa" w:w="141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Baixo</w:t>
            </w:r>
          </w:p>
        </w:tc>
        <w:tc>
          <w:tcPr>
            <w:tcW w:type="dxa" w:w="25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 de Mudanças</w:t>
            </w:r>
          </w:p>
        </w:tc>
        <w:tc>
          <w:tcPr>
            <w:tcW w:type="dxa" w:w="4819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RFC submetido → avaliação → aprovação individual</w:t>
            </w:r>
          </w:p>
        </w:tc>
      </w:tr>
      <w:tr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Normal</w:t>
            </w:r>
          </w:p>
        </w:tc>
        <w:tc>
          <w:tcPr>
            <w:tcW w:type="dxa" w:w="141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Alto</w:t>
            </w:r>
          </w:p>
        </w:tc>
        <w:tc>
          <w:tcPr>
            <w:tcW w:type="dxa" w:w="25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CAB (Change Advisory Board)</w:t>
            </w:r>
          </w:p>
        </w:tc>
        <w:tc>
          <w:tcPr>
            <w:tcW w:type="dxa" w:w="4819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RFC submetido → reunião CAB → aprovação colectiva → agendamento</w:t>
            </w:r>
          </w:p>
        </w:tc>
      </w:tr>
      <w:tr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Emergência</w:t>
            </w:r>
          </w:p>
        </w:tc>
        <w:tc>
          <w:tcPr>
            <w:tcW w:type="dxa" w:w="141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Variável</w:t>
            </w:r>
          </w:p>
        </w:tc>
        <w:tc>
          <w:tcPr>
            <w:tcW w:type="dxa" w:w="25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eCAB (Emergency CAB)</w:t>
            </w:r>
          </w:p>
        </w:tc>
        <w:tc>
          <w:tcPr>
            <w:tcW w:type="dxa" w:w="4819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RFC urgente → aprovação expedita → implementação → revisão pós-mudança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Processo de Mudança Normal</w:t>
      </w:r>
    </w:p>
    <w:p>
      <w:pPr>
        <w:spacing w:before="120" w:after="60"/>
      </w:pPr>
      <w:r>
        <w:rPr>
          <w:rFonts w:ascii="Calibri" w:hAnsi="Calibri"/>
          <w:sz w:val="22"/>
        </w:rPr>
        <w:t>O processo de mudança normal segue as seguintes etapas obrigatórias: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Registo do RFC — O requisitante submete o Request for Change no sistema ITSM com toda a informação necessária.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Avaliação e classificação — O Gestor de Mudanças avalia o risco, impacto e urgência, classifica o tipo de mudança e verifica conflitos de agenda.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Planeamento — O implementador elabora o plano detalhado de implementação, plano de rollback e critérios de sucesso.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Aprovação — Submissão à autoridade competente (Gestor de Mudanças ou CAB) conforme o nível de risco identificado.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Implementação — Execução da mudança dentro da janela de manutenção aprovada, com registo de todos os passos.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Revisão pós-implementação — Verificação dos critérios de sucesso, actualização do RFC com resultado e lições aprendidas.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Processo de Mudança de Emergência</w:t>
      </w:r>
    </w:p>
    <w:p>
      <w:pPr>
        <w:spacing w:before="120" w:after="60"/>
      </w:pPr>
      <w:r>
        <w:rPr>
          <w:rFonts w:ascii="Calibri" w:hAnsi="Calibri"/>
          <w:sz w:val="22"/>
        </w:rPr>
        <w:t>As mudanças de emergência seguem um processo acelerado mas controlado: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Identificação da necessidade urgente — O responsável TI identifica a necessidade de mudança imediata para restaurar serviço ou prevenir impacto crítico.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Contacto com o eCAB — O Gestor de Mudanças convoca o eCAB (presencialmente, por telefone ou comunicação electrónica) para aprovação expedita.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Aprovação de emergência — O eCAB avalia o risco da mudança versus o risco de não agir e aprova ou rejeita de forma célere.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Implementação imediata — Execução com registo de todos os passos mesmo em contexto de urgência.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Registo retroactivo completo — Documentação completa do RFC no sistema ITSM imediatamente após a implementação.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Revisão pós-implementação obrigatória — Análise do que aconteceu, validação da necessidade de emergência e prevenção de recorrência.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Change Freeze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8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68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Períodos de change freeze</w:t>
            </w:r>
          </w:p>
        </w:tc>
        <w:tc>
          <w:tcPr>
            <w:tcW w:type="dxa" w:w="68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últimos 5 dias úteis do mês, período de fecho de exercício, datas críticas do negócio]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Excepções permitidas</w:t>
            </w:r>
          </w:p>
        </w:tc>
        <w:tc>
          <w:tcPr>
            <w:tcW w:type="dxa" w:w="68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apenas mudanças de emergência com aprovação da Direcção]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para excepcionar</w:t>
            </w:r>
          </w:p>
        </w:tc>
        <w:tc>
          <w:tcPr>
            <w:tcW w:type="dxa" w:w="68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Director de TI + Director de Operações]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Comunicação dos períodos</w:t>
            </w:r>
          </w:p>
        </w:tc>
        <w:tc>
          <w:tcPr>
            <w:tcW w:type="dxa" w:w="68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calendário anual publicado em Janeiro, actualizações por email com 10 dias de antecedência]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Avaliação de Risco — Os 7 R's da Mudança</w:t>
      </w:r>
    </w:p>
    <w:p>
      <w:pPr>
        <w:spacing w:before="120" w:after="60"/>
      </w:pPr>
      <w:r>
        <w:rPr>
          <w:rFonts w:ascii="Calibri" w:hAnsi="Calibri"/>
          <w:sz w:val="22"/>
        </w:rPr>
        <w:t>Todas as mudanças normais devem ser avaliadas respondendo às 7 perguntas fundamentais: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5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Pergunta</w:t>
            </w:r>
          </w:p>
        </w:tc>
        <w:tc>
          <w:tcPr>
            <w:tcW w:type="dxa" w:w="5102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Resposta</w:t>
            </w:r>
          </w:p>
        </w:tc>
      </w:tr>
      <w:tr>
        <w:tc>
          <w:tcPr>
            <w:tcW w:type="dxa" w:w="45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Raised — Quem levantou a necessidade desta mudança?</w:t>
            </w:r>
          </w:p>
        </w:tc>
        <w:tc>
          <w:tcPr>
            <w:tcW w:type="dxa" w:w="5102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5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Reason — Qual é o motivo e justificação para a mudança?</w:t>
            </w:r>
          </w:p>
        </w:tc>
        <w:tc>
          <w:tcPr>
            <w:tcW w:type="dxa" w:w="5102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5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Return — Qual é o retorno ou benefício esperado?</w:t>
            </w:r>
          </w:p>
        </w:tc>
        <w:tc>
          <w:tcPr>
            <w:tcW w:type="dxa" w:w="5102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5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Risks — Quais são os riscos associados à implementação e à não-implementação?</w:t>
            </w:r>
          </w:p>
        </w:tc>
        <w:tc>
          <w:tcPr>
            <w:tcW w:type="dxa" w:w="5102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5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Resources — Que recursos (pessoas, sistemas, tempo, orçamento) são necessários?</w:t>
            </w:r>
          </w:p>
        </w:tc>
        <w:tc>
          <w:tcPr>
            <w:tcW w:type="dxa" w:w="5102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5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Responsible — Quem é responsável pela implementação e aprovação?</w:t>
            </w:r>
          </w:p>
        </w:tc>
        <w:tc>
          <w:tcPr>
            <w:tcW w:type="dxa" w:w="5102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5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Relationship — Que outras mudanças, CI's ou serviços são afectados?</w:t>
            </w:r>
          </w:p>
        </w:tc>
        <w:tc>
          <w:tcPr>
            <w:tcW w:type="dxa" w:w="5102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10. Papéis e Responsabilidades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2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Papel</w:t>
            </w:r>
          </w:p>
        </w:tc>
        <w:tc>
          <w:tcPr>
            <w:tcW w:type="dxa" w:w="7370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Responsabilidades</w:t>
            </w:r>
          </w:p>
        </w:tc>
      </w:tr>
      <w:tr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Requisitante</w:t>
            </w:r>
          </w:p>
        </w:tc>
        <w:tc>
          <w:tcPr>
            <w:tcW w:type="dxa" w:w="7370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Submeter RFC completo; fornecer justificação, plano de implementação e rollback; participar na revisão pós-implementação.</w:t>
            </w:r>
          </w:p>
        </w:tc>
      </w:tr>
      <w:tr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Gestor de Mudanças</w:t>
            </w:r>
          </w:p>
        </w:tc>
        <w:tc>
          <w:tcPr>
            <w:tcW w:type="dxa" w:w="737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Avaliar e classificar RFCs; convocar e presidir o CAB; garantir conformidade com a política; manter o registo de mudanças actualizado; reportar KPIs.</w:t>
            </w:r>
          </w:p>
        </w:tc>
      </w:tr>
      <w:tr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CAB (Change Advisory Board)</w:t>
            </w:r>
          </w:p>
        </w:tc>
        <w:tc>
          <w:tcPr>
            <w:tcW w:type="dxa" w:w="7370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Rever e aprovar/rejeitar mudanças de alto risco; aconselhar sobre impacto e conflitos; representar os stakeholders de negócio e técnicos.</w:t>
            </w:r>
          </w:p>
        </w:tc>
      </w:tr>
      <w:tr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eCAB (Emergency CAB)</w:t>
            </w:r>
          </w:p>
        </w:tc>
        <w:tc>
          <w:tcPr>
            <w:tcW w:type="dxa" w:w="737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Aprovar mudanças de emergência de forma célere; garantir que a urgência justifica o processo acelerado; rever retroactivamente todas as mudanças de emergência.</w:t>
            </w:r>
          </w:p>
        </w:tc>
      </w:tr>
      <w:tr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Implementador</w:t>
            </w:r>
          </w:p>
        </w:tc>
        <w:tc>
          <w:tcPr>
            <w:tcW w:type="dxa" w:w="7370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Executar a mudança conforme o plano aprovado; registar todos os passos; escalon em caso de desvio; confirmar sucesso ou activar rollback.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11. Indicadores de Desempenho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28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KPI</w:t>
            </w:r>
          </w:p>
        </w:tc>
        <w:tc>
          <w:tcPr>
            <w:tcW w:type="dxa" w:w="22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Objectivo</w:t>
            </w:r>
          </w:p>
        </w:tc>
        <w:tc>
          <w:tcPr>
            <w:tcW w:type="dxa" w:w="45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Método de Cálculo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Taxa de sucesso de mudanças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≥ 95%]</w:t>
            </w:r>
          </w:p>
        </w:tc>
        <w:tc>
          <w:tcPr>
            <w:tcW w:type="dxa" w:w="45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(Mudanças concluídas com sucesso / Total de mudanças) × 100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Mudanças de emergência vs. total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≤ 5%]</w:t>
            </w:r>
          </w:p>
        </w:tc>
        <w:tc>
          <w:tcPr>
            <w:tcW w:type="dxa" w:w="45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(Mudanças emergência / Total mudanças) × 100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Incidentes causados por mudanças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≤ 2% das mudanças]</w:t>
            </w:r>
          </w:p>
        </w:tc>
        <w:tc>
          <w:tcPr>
            <w:tcW w:type="dxa" w:w="45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Nº incidentes pós-mudança / Total mudanças × 100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Taxa de rollback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≤ 3%]</w:t>
            </w:r>
          </w:p>
        </w:tc>
        <w:tc>
          <w:tcPr>
            <w:tcW w:type="dxa" w:w="45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(Mudanças com rollback / Total mudanças) × 100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Tempo médio de aprovação CAB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≤ 3 dias úteis]</w:t>
            </w:r>
          </w:p>
        </w:tc>
        <w:tc>
          <w:tcPr>
            <w:tcW w:type="dxa" w:w="45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Média do tempo entre submissão RFC e aprovação CAB</w:t>
            </w:r>
          </w:p>
        </w:tc>
      </w:tr>
    </w:tbl>
    <w:p>
      <w:pPr>
        <w:spacing w:before="160" w:after="80"/>
      </w:pP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Política de Gestão de Mudanças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